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20AE" w14:textId="77777777" w:rsidR="00452CB6" w:rsidRPr="00322D89" w:rsidRDefault="00452CB6" w:rsidP="00452CB6">
      <w:pPr>
        <w:shd w:val="clear" w:color="auto" w:fill="FFFFFF" w:themeFill="background1"/>
        <w:spacing w:after="120"/>
        <w:jc w:val="center"/>
        <w:rPr>
          <w:rFonts w:ascii="Times New Roman" w:hAnsi="Times New Roman" w:cs="Times New Roman"/>
          <w:b/>
          <w:bCs/>
          <w:u w:val="single"/>
          <w:lang w:eastAsia="uk-UA"/>
        </w:rPr>
      </w:pPr>
      <w:r w:rsidRPr="00322D89">
        <w:rPr>
          <w:rFonts w:ascii="Times New Roman" w:hAnsi="Times New Roman" w:cs="Times New Roman"/>
          <w:b/>
          <w:bCs/>
          <w:u w:val="single"/>
          <w:lang w:eastAsia="uk-UA"/>
        </w:rPr>
        <w:t>TERMS OF REFERENCE</w:t>
      </w:r>
    </w:p>
    <w:p w14:paraId="5872C3B4" w14:textId="7F030445" w:rsidR="000044CD" w:rsidRDefault="00F2023F" w:rsidP="00452CB6">
      <w:pPr>
        <w:jc w:val="center"/>
        <w:rPr>
          <w:b/>
          <w:bCs/>
          <w:iCs/>
          <w:sz w:val="24"/>
          <w:szCs w:val="24"/>
        </w:rPr>
      </w:pPr>
      <w:r w:rsidRPr="00F2023F">
        <w:rPr>
          <w:b/>
          <w:sz w:val="24"/>
          <w:szCs w:val="24"/>
        </w:rPr>
        <w:t>Senior Project Manager on</w:t>
      </w:r>
      <w:r w:rsidRPr="00F2023F">
        <w:rPr>
          <w:b/>
          <w:bCs/>
          <w:iCs/>
          <w:sz w:val="24"/>
          <w:szCs w:val="24"/>
        </w:rPr>
        <w:t xml:space="preserve"> </w:t>
      </w:r>
      <w:r w:rsidR="00FD7A2E" w:rsidRPr="00FD7A2E">
        <w:rPr>
          <w:b/>
          <w:bCs/>
          <w:iCs/>
          <w:sz w:val="24"/>
          <w:szCs w:val="24"/>
        </w:rPr>
        <w:t xml:space="preserve">Energy System Sustainable </w:t>
      </w:r>
      <w:r w:rsidR="00D9315A">
        <w:rPr>
          <w:b/>
          <w:bCs/>
          <w:iCs/>
          <w:sz w:val="24"/>
          <w:szCs w:val="24"/>
        </w:rPr>
        <w:t>R</w:t>
      </w:r>
      <w:r w:rsidR="00FD7A2E" w:rsidRPr="00FD7A2E">
        <w:rPr>
          <w:b/>
          <w:bCs/>
          <w:iCs/>
          <w:sz w:val="24"/>
          <w:szCs w:val="24"/>
        </w:rPr>
        <w:t xml:space="preserve">ecovery and Investment </w:t>
      </w:r>
      <w:r w:rsidR="00D9315A">
        <w:rPr>
          <w:b/>
          <w:bCs/>
          <w:iCs/>
          <w:sz w:val="24"/>
          <w:szCs w:val="24"/>
        </w:rPr>
        <w:t>S</w:t>
      </w:r>
      <w:r w:rsidR="00FD7A2E" w:rsidRPr="00FD7A2E">
        <w:rPr>
          <w:b/>
          <w:bCs/>
          <w:iCs/>
          <w:sz w:val="24"/>
          <w:szCs w:val="24"/>
        </w:rPr>
        <w:t>upport</w:t>
      </w:r>
    </w:p>
    <w:p w14:paraId="581AA586" w14:textId="74F0A1B5" w:rsidR="00452CB6" w:rsidRPr="00452CB6" w:rsidRDefault="00534287" w:rsidP="00452CB6">
      <w:pPr>
        <w:jc w:val="center"/>
        <w:rPr>
          <w:b/>
          <w:bCs/>
          <w:iCs/>
          <w:sz w:val="24"/>
          <w:szCs w:val="24"/>
        </w:rPr>
      </w:pPr>
      <w:r w:rsidRPr="00534287">
        <w:rPr>
          <w:b/>
          <w:bCs/>
          <w:iCs/>
          <w:sz w:val="24"/>
          <w:szCs w:val="24"/>
        </w:rPr>
        <w:t>(Category 1)</w:t>
      </w:r>
      <w:r w:rsidR="00452CB6" w:rsidRPr="00322D89">
        <w:rPr>
          <w:rFonts w:ascii="Times New Roman" w:hAnsi="Times New Roman" w:cs="Times New Roman"/>
          <w:noProof/>
          <w:lang w:eastAsia="en-GB"/>
        </w:rPr>
        <mc:AlternateContent>
          <mc:Choice Requires="wps">
            <w:drawing>
              <wp:anchor distT="0" distB="0" distL="0" distR="0" simplePos="0" relativeHeight="251659264" behindDoc="1" locked="0" layoutInCell="1" hidden="0" allowOverlap="1" wp14:anchorId="42F9199D" wp14:editId="00C18AD9">
                <wp:simplePos x="0" y="0"/>
                <wp:positionH relativeFrom="margin">
                  <wp:posOffset>0</wp:posOffset>
                </wp:positionH>
                <wp:positionV relativeFrom="paragraph">
                  <wp:posOffset>302260</wp:posOffset>
                </wp:positionV>
                <wp:extent cx="5943600" cy="558800"/>
                <wp:effectExtent l="0" t="0" r="19050" b="1270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558800"/>
                        </a:xfrm>
                        <a:prstGeom prst="rect">
                          <a:avLst/>
                        </a:prstGeom>
                        <a:noFill/>
                        <a:ln w="9525" cap="flat" cmpd="sng">
                          <a:solidFill>
                            <a:srgbClr val="000000"/>
                          </a:solidFill>
                          <a:prstDash val="solid"/>
                          <a:miter lim="800000"/>
                          <a:headEnd type="none" w="med" len="med"/>
                          <a:tailEnd type="none" w="med" len="med"/>
                        </a:ln>
                      </wps:spPr>
                      <wps:txbx>
                        <w:txbxContent>
                          <w:p w14:paraId="01CA86C3" w14:textId="3317A548" w:rsidR="00D51ECE" w:rsidRPr="00C97A95" w:rsidRDefault="00D51ECE" w:rsidP="00D51ECE">
                            <w:pPr>
                              <w:spacing w:before="162"/>
                              <w:ind w:left="115" w:firstLine="230"/>
                              <w:textDirection w:val="btLr"/>
                              <w:rPr>
                                <w:b/>
                                <w:lang w:val="en-US"/>
                              </w:rPr>
                            </w:pPr>
                            <w:r w:rsidRPr="00DF1B1B">
                              <w:rPr>
                                <w:b/>
                                <w:lang w:val="en-US"/>
                              </w:rPr>
                              <w:t>ToR Date of Issuance</w:t>
                            </w:r>
                            <w:r w:rsidR="00C97A95">
                              <w:rPr>
                                <w:b/>
                                <w:lang w:val="uk-UA"/>
                              </w:rPr>
                              <w:t>: 1</w:t>
                            </w:r>
                            <w:r w:rsidR="00C97A95">
                              <w:rPr>
                                <w:b/>
                                <w:lang w:val="en-US"/>
                              </w:rPr>
                              <w:t>8</w:t>
                            </w:r>
                            <w:r w:rsidR="00C97A95">
                              <w:rPr>
                                <w:b/>
                                <w:lang w:val="uk-UA"/>
                              </w:rPr>
                              <w:t xml:space="preserve"> </w:t>
                            </w:r>
                            <w:r w:rsidR="00C97A95">
                              <w:rPr>
                                <w:b/>
                                <w:lang w:val="en-US"/>
                              </w:rPr>
                              <w:t>March, 2024</w:t>
                            </w:r>
                          </w:p>
                          <w:p w14:paraId="51A09299" w14:textId="581503B2" w:rsidR="00D51ECE" w:rsidRPr="0072329B" w:rsidRDefault="00D51ECE" w:rsidP="00D51ECE">
                            <w:pPr>
                              <w:spacing w:before="162"/>
                              <w:ind w:left="115" w:firstLine="230"/>
                              <w:textDirection w:val="btLr"/>
                              <w:rPr>
                                <w:b/>
                                <w:lang w:val="en-US"/>
                              </w:rPr>
                            </w:pPr>
                            <w:r w:rsidRPr="00DF1B1B">
                              <w:rPr>
                                <w:b/>
                                <w:lang w:val="en-US"/>
                              </w:rPr>
                              <w:t>Due Date for Applications</w:t>
                            </w:r>
                            <w:r w:rsidRPr="0072329B">
                              <w:rPr>
                                <w:b/>
                                <w:lang w:val="en-US"/>
                              </w:rPr>
                              <w:t xml:space="preserve">: </w:t>
                            </w:r>
                            <w:r w:rsidR="00C97A95">
                              <w:rPr>
                                <w:b/>
                                <w:lang w:val="en-US"/>
                              </w:rPr>
                              <w:t>1 April, 2024</w:t>
                            </w:r>
                          </w:p>
                          <w:p w14:paraId="7EDCED03" w14:textId="77777777" w:rsidR="00452CB6" w:rsidRDefault="00452CB6" w:rsidP="00452CB6">
                            <w:pPr>
                              <w:spacing w:before="35"/>
                              <w:ind w:left="115" w:firstLine="230"/>
                              <w:textDirection w:val="btLr"/>
                              <w:rPr>
                                <w:rFonts w:cstheme="minorHAnsi"/>
                                <w:lang w:val="en-US"/>
                              </w:rPr>
                            </w:pPr>
                          </w:p>
                          <w:p w14:paraId="20D8A3F2" w14:textId="77777777" w:rsidR="00452CB6" w:rsidRDefault="00452CB6" w:rsidP="00452CB6">
                            <w:pPr>
                              <w:spacing w:before="35"/>
                              <w:ind w:left="115" w:firstLine="230"/>
                              <w:textDirection w:val="btLr"/>
                              <w:rPr>
                                <w:rFonts w:cstheme="minorHAnsi"/>
                                <w:lang w:val="en-US"/>
                              </w:rPr>
                            </w:pPr>
                          </w:p>
                          <w:p w14:paraId="195BC44A" w14:textId="77777777" w:rsidR="00452CB6" w:rsidRPr="00D83197" w:rsidRDefault="00452CB6" w:rsidP="00452CB6">
                            <w:pPr>
                              <w:spacing w:before="35"/>
                              <w:ind w:left="115" w:firstLine="230"/>
                              <w:textDirection w:val="btLr"/>
                              <w:rPr>
                                <w:rFonts w:cstheme="minorHAnsi"/>
                                <w:lang w:val="en-US"/>
                              </w:rPr>
                            </w:pPr>
                          </w:p>
                        </w:txbxContent>
                      </wps:txbx>
                      <wps:bodyPr wrap="square" lIns="0" tIns="0" rIns="0" bIns="0" anchor="t" anchorCtr="0"/>
                    </wps:wsp>
                  </a:graphicData>
                </a:graphic>
              </wp:anchor>
            </w:drawing>
          </mc:Choice>
          <mc:Fallback>
            <w:pict>
              <v:rect w14:anchorId="42F9199D" id="Прямоугольник 1" o:spid="_x0000_s1026" style="position:absolute;left:0;text-align:left;margin-left:0;margin-top:23.8pt;width:468pt;height:44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" filled="f">
                <v:textbox inset="0,0,0,0">
                  <w:txbxContent>
                    <w:p w14:paraId="01CA86C3" w14:textId="3317A548" w:rsidR="00D51ECE" w:rsidRPr="00C97A95" w:rsidRDefault="00D51ECE" w:rsidP="00D51ECE">
                      <w:pPr>
                        <w:spacing w:before="162"/>
                        <w:ind w:left="115" w:firstLine="230"/>
                        <w:textDirection w:val="btLr"/>
                        <w:rPr>
                          <w:b/>
                          <w:lang w:val="en-US"/>
                        </w:rPr>
                      </w:pPr>
                      <w:proofErr w:type="spellStart"/>
                      <w:r w:rsidRPr="00DF1B1B">
                        <w:rPr>
                          <w:b/>
                          <w:lang w:val="en-US"/>
                        </w:rPr>
                        <w:t>ToR</w:t>
                      </w:r>
                      <w:proofErr w:type="spellEnd"/>
                      <w:r w:rsidRPr="00DF1B1B">
                        <w:rPr>
                          <w:b/>
                          <w:lang w:val="en-US"/>
                        </w:rPr>
                        <w:t xml:space="preserve"> Date of Issuance</w:t>
                      </w:r>
                      <w:r w:rsidR="00C97A95">
                        <w:rPr>
                          <w:b/>
                          <w:lang w:val="uk-UA"/>
                        </w:rPr>
                        <w:t>: 1</w:t>
                      </w:r>
                      <w:r w:rsidR="00C97A95">
                        <w:rPr>
                          <w:b/>
                          <w:lang w:val="en-US"/>
                        </w:rPr>
                        <w:t>8</w:t>
                      </w:r>
                      <w:r w:rsidR="00C97A95">
                        <w:rPr>
                          <w:b/>
                          <w:lang w:val="uk-UA"/>
                        </w:rPr>
                        <w:t xml:space="preserve"> </w:t>
                      </w:r>
                      <w:proofErr w:type="gramStart"/>
                      <w:r w:rsidR="00C97A95">
                        <w:rPr>
                          <w:b/>
                          <w:lang w:val="en-US"/>
                        </w:rPr>
                        <w:t>March,</w:t>
                      </w:r>
                      <w:proofErr w:type="gramEnd"/>
                      <w:r w:rsidR="00C97A95">
                        <w:rPr>
                          <w:b/>
                          <w:lang w:val="en-US"/>
                        </w:rPr>
                        <w:t xml:space="preserve"> 2024</w:t>
                      </w:r>
                    </w:p>
                    <w:p w14:paraId="51A09299" w14:textId="581503B2" w:rsidR="00D51ECE" w:rsidRPr="0072329B" w:rsidRDefault="00D51ECE" w:rsidP="00D51ECE">
                      <w:pPr>
                        <w:spacing w:before="162"/>
                        <w:ind w:left="115" w:firstLine="230"/>
                        <w:textDirection w:val="btLr"/>
                        <w:rPr>
                          <w:b/>
                          <w:lang w:val="en-US"/>
                        </w:rPr>
                      </w:pPr>
                      <w:r w:rsidRPr="00DF1B1B">
                        <w:rPr>
                          <w:b/>
                          <w:lang w:val="en-US"/>
                        </w:rPr>
                        <w:t>Due Date for Applications</w:t>
                      </w:r>
                      <w:r w:rsidRPr="0072329B">
                        <w:rPr>
                          <w:b/>
                          <w:lang w:val="en-US"/>
                        </w:rPr>
                        <w:t xml:space="preserve">: </w:t>
                      </w:r>
                      <w:r w:rsidR="00C97A95">
                        <w:rPr>
                          <w:b/>
                          <w:lang w:val="en-US"/>
                        </w:rPr>
                        <w:t xml:space="preserve">1 </w:t>
                      </w:r>
                      <w:proofErr w:type="gramStart"/>
                      <w:r w:rsidR="00C97A95">
                        <w:rPr>
                          <w:b/>
                          <w:lang w:val="en-US"/>
                        </w:rPr>
                        <w:t>April,</w:t>
                      </w:r>
                      <w:proofErr w:type="gramEnd"/>
                      <w:r w:rsidR="00C97A95">
                        <w:rPr>
                          <w:b/>
                          <w:lang w:val="en-US"/>
                        </w:rPr>
                        <w:t xml:space="preserve"> 2024</w:t>
                      </w:r>
                    </w:p>
                    <w:p w14:paraId="7EDCED03" w14:textId="77777777" w:rsidR="00452CB6" w:rsidRDefault="00452CB6" w:rsidP="00452CB6">
                      <w:pPr>
                        <w:spacing w:before="35"/>
                        <w:ind w:left="115" w:firstLine="230"/>
                        <w:textDirection w:val="btLr"/>
                        <w:rPr>
                          <w:rFonts w:cstheme="minorHAnsi"/>
                          <w:lang w:val="en-US"/>
                        </w:rPr>
                      </w:pPr>
                    </w:p>
                    <w:p w14:paraId="20D8A3F2" w14:textId="77777777" w:rsidR="00452CB6" w:rsidRDefault="00452CB6" w:rsidP="00452CB6">
                      <w:pPr>
                        <w:spacing w:before="35"/>
                        <w:ind w:left="115" w:firstLine="230"/>
                        <w:textDirection w:val="btLr"/>
                        <w:rPr>
                          <w:rFonts w:cstheme="minorHAnsi"/>
                          <w:lang w:val="en-US"/>
                        </w:rPr>
                      </w:pPr>
                    </w:p>
                    <w:p w14:paraId="195BC44A" w14:textId="77777777" w:rsidR="00452CB6" w:rsidRPr="00D83197" w:rsidRDefault="00452CB6" w:rsidP="00452CB6">
                      <w:pPr>
                        <w:spacing w:before="35"/>
                        <w:ind w:left="115" w:firstLine="230"/>
                        <w:textDirection w:val="btLr"/>
                        <w:rPr>
                          <w:rFonts w:cstheme="minorHAnsi"/>
                          <w:lang w:val="en-US"/>
                        </w:rPr>
                      </w:pPr>
                    </w:p>
                  </w:txbxContent>
                </v:textbox>
                <w10:wrap type="topAndBottom" anchorx="margin"/>
              </v:rect>
            </w:pict>
          </mc:Fallback>
        </mc:AlternateContent>
      </w:r>
    </w:p>
    <w:p w14:paraId="61FE5430" w14:textId="77777777" w:rsidR="00452CB6" w:rsidRDefault="00452CB6" w:rsidP="00534287">
      <w:pPr>
        <w:jc w:val="both"/>
        <w:rPr>
          <w:b/>
          <w:bCs/>
          <w:sz w:val="24"/>
          <w:szCs w:val="24"/>
        </w:rPr>
      </w:pPr>
    </w:p>
    <w:p w14:paraId="1D85897D" w14:textId="70860F1A" w:rsidR="00300487" w:rsidRPr="00534287" w:rsidRDefault="00534287" w:rsidP="00534287">
      <w:pPr>
        <w:jc w:val="both"/>
        <w:rPr>
          <w:b/>
          <w:sz w:val="24"/>
          <w:szCs w:val="24"/>
        </w:rPr>
      </w:pPr>
      <w:r w:rsidRPr="00534287">
        <w:rPr>
          <w:b/>
          <w:bCs/>
          <w:sz w:val="24"/>
          <w:szCs w:val="24"/>
        </w:rPr>
        <w:t xml:space="preserve">1. Objective(s) and </w:t>
      </w:r>
      <w:r w:rsidR="00E84D21">
        <w:rPr>
          <w:b/>
          <w:bCs/>
          <w:sz w:val="24"/>
          <w:szCs w:val="24"/>
        </w:rPr>
        <w:t>L</w:t>
      </w:r>
      <w:r w:rsidRPr="00534287">
        <w:rPr>
          <w:b/>
          <w:bCs/>
          <w:sz w:val="24"/>
          <w:szCs w:val="24"/>
        </w:rPr>
        <w:t xml:space="preserve">inkages to </w:t>
      </w:r>
      <w:r w:rsidR="00E84D21">
        <w:rPr>
          <w:b/>
          <w:bCs/>
          <w:sz w:val="24"/>
          <w:szCs w:val="24"/>
        </w:rPr>
        <w:t>R</w:t>
      </w:r>
      <w:r w:rsidRPr="00534287">
        <w:rPr>
          <w:b/>
          <w:bCs/>
          <w:sz w:val="24"/>
          <w:szCs w:val="24"/>
        </w:rPr>
        <w:t xml:space="preserve">eforms </w:t>
      </w:r>
    </w:p>
    <w:p w14:paraId="1071CA1F" w14:textId="617261E9" w:rsidR="00FD7A2E" w:rsidRPr="00FD7A2E" w:rsidRDefault="00FD7A2E" w:rsidP="00FD7A2E">
      <w:pPr>
        <w:jc w:val="both"/>
        <w:rPr>
          <w:sz w:val="24"/>
          <w:szCs w:val="24"/>
        </w:rPr>
      </w:pPr>
      <w:r w:rsidRPr="00FD7A2E">
        <w:rPr>
          <w:sz w:val="24"/>
          <w:szCs w:val="24"/>
        </w:rPr>
        <w:t>The Recovery and Reform Support Team (the RST) at the Ministry of Energy of Ukraine (the Ministry) is a group of Ukrainian professionals (non-civil servants) funded temporarily through the Ukraine Recovery and Reform Architecture (URA)</w:t>
      </w:r>
      <w:r w:rsidRPr="00FD7A2E">
        <w:rPr>
          <w:sz w:val="24"/>
          <w:szCs w:val="24"/>
        </w:rPr>
        <w:footnoteReference w:id="1"/>
      </w:r>
      <w:r w:rsidRPr="00FD7A2E">
        <w:rPr>
          <w:sz w:val="24"/>
          <w:szCs w:val="24"/>
        </w:rPr>
        <w:t xml:space="preserve"> programme that provides targeted technical support and assists the Ministry in the design and implementation of priority reforms. </w:t>
      </w:r>
    </w:p>
    <w:p w14:paraId="7863D3D6" w14:textId="77777777" w:rsidR="00FD7A2E" w:rsidRPr="00FD7A2E" w:rsidRDefault="00FD7A2E" w:rsidP="00FD7A2E">
      <w:pPr>
        <w:jc w:val="both"/>
        <w:rPr>
          <w:sz w:val="24"/>
          <w:szCs w:val="24"/>
        </w:rPr>
      </w:pPr>
      <w:r w:rsidRPr="00FD7A2E">
        <w:rPr>
          <w:sz w:val="24"/>
          <w:szCs w:val="24"/>
        </w:rPr>
        <w:t>The RST was launched in 2021 to assist the Ministry with the implementation of priority reforms in the following areas: an integrated approach to the formulation of energy policy, ensuring efficient operation of energy markets, coal industry reform, improving energy efficiency, implementation of the National Emission Reduction Plan, public administration reform and capacity building.</w:t>
      </w:r>
    </w:p>
    <w:p w14:paraId="28C2AB02" w14:textId="77777777" w:rsidR="00FD7A2E" w:rsidRPr="00FD7A2E" w:rsidRDefault="00FD7A2E" w:rsidP="00FD7A2E">
      <w:pPr>
        <w:jc w:val="both"/>
        <w:rPr>
          <w:sz w:val="24"/>
          <w:szCs w:val="24"/>
        </w:rPr>
      </w:pPr>
      <w:r w:rsidRPr="00FD7A2E">
        <w:rPr>
          <w:sz w:val="24"/>
          <w:szCs w:val="24"/>
        </w:rPr>
        <w:t xml:space="preserve">Since February 2022, the RST has also assisted the Ministry in ensuring the stability of the energy system in the context of heavy damages inflicted on its critical infrastructure by the ongoing war in Ukraine. The team provides coordination, analytical and expert support to the Ministry in areas such as evaluation of damages, repair of critical infrastructure, formulation of energy sector related recovery plans and cooperation with international partners. </w:t>
      </w:r>
    </w:p>
    <w:p w14:paraId="38702935" w14:textId="6DD4DA2E" w:rsidR="00300487" w:rsidRPr="00534287" w:rsidRDefault="00534287" w:rsidP="00534287">
      <w:pPr>
        <w:jc w:val="both"/>
        <w:rPr>
          <w:b/>
          <w:bCs/>
          <w:sz w:val="24"/>
          <w:szCs w:val="24"/>
        </w:rPr>
      </w:pPr>
      <w:r w:rsidRPr="00534287">
        <w:rPr>
          <w:b/>
          <w:bCs/>
          <w:sz w:val="24"/>
          <w:szCs w:val="24"/>
        </w:rPr>
        <w:t xml:space="preserve">2. Position and </w:t>
      </w:r>
      <w:r w:rsidR="00E84D21">
        <w:rPr>
          <w:b/>
          <w:bCs/>
          <w:sz w:val="24"/>
          <w:szCs w:val="24"/>
        </w:rPr>
        <w:t>R</w:t>
      </w:r>
      <w:r w:rsidRPr="00534287">
        <w:rPr>
          <w:b/>
          <w:bCs/>
          <w:sz w:val="24"/>
          <w:szCs w:val="24"/>
        </w:rPr>
        <w:t xml:space="preserve">eporting </w:t>
      </w:r>
      <w:r w:rsidR="00E84D21">
        <w:rPr>
          <w:b/>
          <w:bCs/>
          <w:sz w:val="24"/>
          <w:szCs w:val="24"/>
        </w:rPr>
        <w:t>L</w:t>
      </w:r>
      <w:r w:rsidRPr="00534287">
        <w:rPr>
          <w:b/>
          <w:bCs/>
          <w:sz w:val="24"/>
          <w:szCs w:val="24"/>
        </w:rPr>
        <w:t>ine</w:t>
      </w:r>
      <w:r w:rsidR="001C448A">
        <w:rPr>
          <w:b/>
          <w:bCs/>
          <w:sz w:val="24"/>
          <w:szCs w:val="24"/>
        </w:rPr>
        <w:t>s</w:t>
      </w:r>
    </w:p>
    <w:p w14:paraId="43CBD071" w14:textId="2188127E" w:rsidR="00452CB6" w:rsidRDefault="00452CB6" w:rsidP="00452CB6">
      <w:pPr>
        <w:jc w:val="both"/>
        <w:rPr>
          <w:sz w:val="24"/>
          <w:szCs w:val="24"/>
        </w:rPr>
      </w:pPr>
      <w:r w:rsidRPr="00AB616B">
        <w:rPr>
          <w:sz w:val="24"/>
          <w:szCs w:val="24"/>
        </w:rPr>
        <w:t xml:space="preserve">The </w:t>
      </w:r>
      <w:r w:rsidRPr="004265FA">
        <w:rPr>
          <w:sz w:val="24"/>
          <w:szCs w:val="24"/>
        </w:rPr>
        <w:t>Senior Project Manager</w:t>
      </w:r>
      <w:r>
        <w:rPr>
          <w:sz w:val="24"/>
          <w:szCs w:val="24"/>
        </w:rPr>
        <w:t xml:space="preserve"> </w:t>
      </w:r>
      <w:r w:rsidRPr="00452CB6">
        <w:rPr>
          <w:sz w:val="24"/>
          <w:szCs w:val="24"/>
        </w:rPr>
        <w:t xml:space="preserve">on </w:t>
      </w:r>
      <w:r w:rsidR="00FD7A2E" w:rsidRPr="00FD7A2E">
        <w:rPr>
          <w:sz w:val="24"/>
          <w:szCs w:val="24"/>
        </w:rPr>
        <w:t xml:space="preserve">Energy System Sustainable </w:t>
      </w:r>
      <w:r w:rsidR="00D9315A">
        <w:rPr>
          <w:sz w:val="24"/>
          <w:szCs w:val="24"/>
        </w:rPr>
        <w:t>R</w:t>
      </w:r>
      <w:r w:rsidR="00FD7A2E" w:rsidRPr="00FD7A2E">
        <w:rPr>
          <w:sz w:val="24"/>
          <w:szCs w:val="24"/>
        </w:rPr>
        <w:t xml:space="preserve">ecovery and Investment </w:t>
      </w:r>
      <w:r w:rsidR="00D9315A">
        <w:rPr>
          <w:sz w:val="24"/>
          <w:szCs w:val="24"/>
        </w:rPr>
        <w:t>S</w:t>
      </w:r>
      <w:r w:rsidR="00FD7A2E" w:rsidRPr="00FD7A2E">
        <w:rPr>
          <w:sz w:val="24"/>
          <w:szCs w:val="24"/>
        </w:rPr>
        <w:t>upport</w:t>
      </w:r>
      <w:r w:rsidR="00FD7A2E">
        <w:rPr>
          <w:sz w:val="24"/>
          <w:szCs w:val="24"/>
        </w:rPr>
        <w:t xml:space="preserve"> </w:t>
      </w:r>
      <w:r w:rsidRPr="00AB616B">
        <w:rPr>
          <w:sz w:val="24"/>
          <w:szCs w:val="24"/>
        </w:rPr>
        <w:t xml:space="preserve">will be a full-time consultant in the </w:t>
      </w:r>
      <w:r>
        <w:rPr>
          <w:sz w:val="24"/>
          <w:szCs w:val="24"/>
        </w:rPr>
        <w:t>RST</w:t>
      </w:r>
      <w:r w:rsidR="00FD7A2E">
        <w:rPr>
          <w:sz w:val="24"/>
          <w:szCs w:val="24"/>
        </w:rPr>
        <w:t xml:space="preserve"> </w:t>
      </w:r>
      <w:r>
        <w:rPr>
          <w:sz w:val="24"/>
          <w:szCs w:val="24"/>
        </w:rPr>
        <w:t>at the Ministry</w:t>
      </w:r>
      <w:r w:rsidRPr="00AB616B">
        <w:rPr>
          <w:sz w:val="24"/>
          <w:szCs w:val="24"/>
        </w:rPr>
        <w:t xml:space="preserve">. </w:t>
      </w:r>
    </w:p>
    <w:p w14:paraId="417D9303" w14:textId="7C3A3DBE" w:rsidR="004265FA" w:rsidRDefault="00534287" w:rsidP="00534287">
      <w:pPr>
        <w:jc w:val="both"/>
        <w:rPr>
          <w:sz w:val="24"/>
          <w:szCs w:val="24"/>
        </w:rPr>
      </w:pPr>
      <w:r w:rsidRPr="00534287">
        <w:rPr>
          <w:sz w:val="24"/>
          <w:szCs w:val="24"/>
        </w:rPr>
        <w:t xml:space="preserve">The </w:t>
      </w:r>
      <w:r w:rsidR="009C7567">
        <w:rPr>
          <w:sz w:val="24"/>
          <w:szCs w:val="24"/>
        </w:rPr>
        <w:t xml:space="preserve">Senior Project </w:t>
      </w:r>
      <w:r w:rsidR="009C7567" w:rsidRPr="004265FA">
        <w:rPr>
          <w:sz w:val="24"/>
          <w:szCs w:val="24"/>
        </w:rPr>
        <w:t xml:space="preserve">Manager </w:t>
      </w:r>
      <w:r w:rsidR="00452CB6" w:rsidRPr="00452CB6">
        <w:rPr>
          <w:sz w:val="24"/>
          <w:szCs w:val="24"/>
        </w:rPr>
        <w:t xml:space="preserve">on </w:t>
      </w:r>
      <w:r w:rsidR="00FD7A2E" w:rsidRPr="00FD7A2E">
        <w:rPr>
          <w:sz w:val="24"/>
          <w:szCs w:val="24"/>
        </w:rPr>
        <w:t xml:space="preserve">Energy System Sustainable </w:t>
      </w:r>
      <w:r w:rsidR="00D9315A">
        <w:rPr>
          <w:sz w:val="24"/>
          <w:szCs w:val="24"/>
        </w:rPr>
        <w:t>R</w:t>
      </w:r>
      <w:r w:rsidR="00FD7A2E" w:rsidRPr="00FD7A2E">
        <w:rPr>
          <w:sz w:val="24"/>
          <w:szCs w:val="24"/>
        </w:rPr>
        <w:t>ecovery and Investment support</w:t>
      </w:r>
      <w:r w:rsidR="000B66C6">
        <w:rPr>
          <w:sz w:val="24"/>
          <w:szCs w:val="24"/>
        </w:rPr>
        <w:t xml:space="preserve"> </w:t>
      </w:r>
      <w:r w:rsidR="004265FA">
        <w:rPr>
          <w:sz w:val="24"/>
          <w:szCs w:val="24"/>
        </w:rPr>
        <w:t>will be responsible for the following:</w:t>
      </w:r>
    </w:p>
    <w:p w14:paraId="17D02A0F" w14:textId="2BD03A40" w:rsidR="00714A71" w:rsidRDefault="00714A71" w:rsidP="00E204BC">
      <w:pPr>
        <w:pStyle w:val="a7"/>
        <w:numPr>
          <w:ilvl w:val="0"/>
          <w:numId w:val="11"/>
        </w:numPr>
        <w:spacing w:after="0"/>
        <w:jc w:val="both"/>
        <w:rPr>
          <w:sz w:val="24"/>
          <w:szCs w:val="24"/>
        </w:rPr>
      </w:pPr>
      <w:r w:rsidRPr="00A81CA1">
        <w:rPr>
          <w:sz w:val="24"/>
          <w:szCs w:val="24"/>
        </w:rPr>
        <w:t>coordination and facilitation of energy system sustainable recovery and investment support process;</w:t>
      </w:r>
    </w:p>
    <w:p w14:paraId="10A931BF" w14:textId="2E360AD8" w:rsidR="00E204BC" w:rsidRPr="00E204BC" w:rsidRDefault="00E204BC" w:rsidP="00E204BC">
      <w:pPr>
        <w:pStyle w:val="a7"/>
        <w:numPr>
          <w:ilvl w:val="0"/>
          <w:numId w:val="11"/>
        </w:numPr>
        <w:spacing w:after="0"/>
        <w:rPr>
          <w:sz w:val="24"/>
          <w:szCs w:val="24"/>
        </w:rPr>
      </w:pPr>
      <w:r w:rsidRPr="00A81CA1">
        <w:rPr>
          <w:sz w:val="24"/>
          <w:szCs w:val="24"/>
        </w:rPr>
        <w:t>policy management (policy development, implementation plans, risk management, etc.);</w:t>
      </w:r>
    </w:p>
    <w:p w14:paraId="63B0DD6C" w14:textId="0B2F4EBF" w:rsidR="00A81CA1" w:rsidRPr="00E204BC" w:rsidRDefault="00A81CA1" w:rsidP="00E204BC">
      <w:pPr>
        <w:numPr>
          <w:ilvl w:val="0"/>
          <w:numId w:val="11"/>
        </w:numPr>
        <w:pBdr>
          <w:top w:val="nil"/>
          <w:left w:val="nil"/>
          <w:bottom w:val="nil"/>
          <w:right w:val="nil"/>
          <w:between w:val="nil"/>
        </w:pBdr>
        <w:spacing w:after="0"/>
        <w:jc w:val="both"/>
        <w:rPr>
          <w:sz w:val="24"/>
          <w:szCs w:val="24"/>
        </w:rPr>
      </w:pPr>
      <w:r w:rsidRPr="00A81CA1">
        <w:rPr>
          <w:sz w:val="24"/>
          <w:szCs w:val="24"/>
        </w:rPr>
        <w:t>providing consulting and expert support in preparing and drafting strategies, policy papers, analytical materials, and implementation plans roadmaps;</w:t>
      </w:r>
    </w:p>
    <w:p w14:paraId="64CAE07D" w14:textId="77C26BE0" w:rsidR="00C63E91" w:rsidRPr="00E204BC" w:rsidRDefault="00E204BC" w:rsidP="00E204BC">
      <w:pPr>
        <w:pStyle w:val="a7"/>
        <w:numPr>
          <w:ilvl w:val="0"/>
          <w:numId w:val="11"/>
        </w:numPr>
        <w:rPr>
          <w:sz w:val="24"/>
          <w:szCs w:val="24"/>
        </w:rPr>
      </w:pPr>
      <w:r>
        <w:rPr>
          <w:sz w:val="24"/>
          <w:szCs w:val="24"/>
        </w:rPr>
        <w:t>s</w:t>
      </w:r>
      <w:r w:rsidR="00B41E63" w:rsidRPr="00B41E63">
        <w:rPr>
          <w:sz w:val="24"/>
          <w:szCs w:val="24"/>
        </w:rPr>
        <w:t xml:space="preserve">upporting the </w:t>
      </w:r>
      <w:r w:rsidR="000B66C6">
        <w:rPr>
          <w:sz w:val="24"/>
          <w:szCs w:val="24"/>
        </w:rPr>
        <w:t>M</w:t>
      </w:r>
      <w:r w:rsidR="00B41E63" w:rsidRPr="00B41E63">
        <w:rPr>
          <w:sz w:val="24"/>
          <w:szCs w:val="24"/>
        </w:rPr>
        <w:t>inistry in determining</w:t>
      </w:r>
      <w:r w:rsidR="00D14326">
        <w:rPr>
          <w:sz w:val="24"/>
          <w:szCs w:val="24"/>
        </w:rPr>
        <w:t xml:space="preserve"> priority </w:t>
      </w:r>
      <w:r w:rsidR="003A5AF2">
        <w:rPr>
          <w:sz w:val="24"/>
          <w:szCs w:val="24"/>
        </w:rPr>
        <w:t xml:space="preserve">sustainable </w:t>
      </w:r>
      <w:r w:rsidR="00D14326">
        <w:rPr>
          <w:sz w:val="24"/>
          <w:szCs w:val="24"/>
        </w:rPr>
        <w:t>investment and recovery projects in the energy sector</w:t>
      </w:r>
      <w:r w:rsidR="00B41E63" w:rsidRPr="00B41E63">
        <w:rPr>
          <w:sz w:val="24"/>
          <w:szCs w:val="24"/>
        </w:rPr>
        <w:t xml:space="preserve">; </w:t>
      </w:r>
    </w:p>
    <w:p w14:paraId="51E540E7" w14:textId="1C17AB3D" w:rsidR="00AD0E09" w:rsidRPr="00E204BC" w:rsidRDefault="00E204BC" w:rsidP="00E204BC">
      <w:pPr>
        <w:pStyle w:val="a7"/>
        <w:numPr>
          <w:ilvl w:val="0"/>
          <w:numId w:val="11"/>
        </w:numPr>
        <w:jc w:val="both"/>
        <w:rPr>
          <w:sz w:val="24"/>
          <w:szCs w:val="24"/>
        </w:rPr>
      </w:pPr>
      <w:r w:rsidRPr="00E204BC">
        <w:rPr>
          <w:sz w:val="24"/>
          <w:szCs w:val="24"/>
        </w:rPr>
        <w:lastRenderedPageBreak/>
        <w:t xml:space="preserve">acting as a focal point for coordination between the Ministry </w:t>
      </w:r>
      <w:r>
        <w:rPr>
          <w:sz w:val="24"/>
          <w:szCs w:val="24"/>
        </w:rPr>
        <w:t xml:space="preserve">and </w:t>
      </w:r>
      <w:r w:rsidR="00A81CA1" w:rsidRPr="00A81CA1">
        <w:rPr>
          <w:sz w:val="24"/>
          <w:szCs w:val="24"/>
        </w:rPr>
        <w:t xml:space="preserve">relevant stakeholders (experts, government officials, donors, </w:t>
      </w:r>
      <w:r>
        <w:rPr>
          <w:sz w:val="24"/>
          <w:szCs w:val="24"/>
        </w:rPr>
        <w:t>partners</w:t>
      </w:r>
      <w:r w:rsidR="00A81CA1" w:rsidRPr="00A81CA1">
        <w:rPr>
          <w:sz w:val="24"/>
          <w:szCs w:val="24"/>
        </w:rPr>
        <w:t xml:space="preserve"> etc.)</w:t>
      </w:r>
      <w:r>
        <w:rPr>
          <w:sz w:val="24"/>
          <w:szCs w:val="24"/>
        </w:rPr>
        <w:t>;</w:t>
      </w:r>
    </w:p>
    <w:p w14:paraId="4B617558" w14:textId="36727063" w:rsidR="009C7567" w:rsidRPr="00C53012" w:rsidRDefault="009C7567" w:rsidP="009C7567">
      <w:pPr>
        <w:jc w:val="both"/>
        <w:rPr>
          <w:sz w:val="24"/>
          <w:szCs w:val="24"/>
        </w:rPr>
      </w:pPr>
      <w:r w:rsidRPr="00C53012">
        <w:rPr>
          <w:sz w:val="24"/>
          <w:szCs w:val="24"/>
        </w:rPr>
        <w:t>The Senior Project Manager will be subordinated to and coordinated by the RST Director.</w:t>
      </w:r>
    </w:p>
    <w:p w14:paraId="086F2226" w14:textId="0710BEEC" w:rsidR="009C7567" w:rsidRPr="00C53012" w:rsidRDefault="009C7567" w:rsidP="009C7567">
      <w:pPr>
        <w:jc w:val="both"/>
        <w:rPr>
          <w:sz w:val="24"/>
          <w:szCs w:val="24"/>
        </w:rPr>
      </w:pPr>
      <w:r w:rsidRPr="00C53012">
        <w:rPr>
          <w:sz w:val="24"/>
          <w:szCs w:val="24"/>
        </w:rPr>
        <w:t xml:space="preserve">The Senior Project Manager will work in close cooperation with </w:t>
      </w:r>
      <w:r w:rsidR="00AD0E09" w:rsidRPr="00C53012">
        <w:rPr>
          <w:sz w:val="24"/>
          <w:szCs w:val="24"/>
        </w:rPr>
        <w:t xml:space="preserve">the </w:t>
      </w:r>
      <w:r w:rsidRPr="00C53012">
        <w:rPr>
          <w:sz w:val="24"/>
          <w:szCs w:val="24"/>
        </w:rPr>
        <w:t>Deputy Minister</w:t>
      </w:r>
      <w:r w:rsidR="00AD0E09" w:rsidRPr="00C53012">
        <w:rPr>
          <w:sz w:val="24"/>
          <w:szCs w:val="24"/>
        </w:rPr>
        <w:t xml:space="preserve"> of </w:t>
      </w:r>
      <w:r w:rsidR="00A6029C">
        <w:rPr>
          <w:sz w:val="24"/>
          <w:szCs w:val="24"/>
        </w:rPr>
        <w:t xml:space="preserve">Energy </w:t>
      </w:r>
      <w:r w:rsidR="00AD0E09" w:rsidRPr="00C53012">
        <w:rPr>
          <w:sz w:val="24"/>
          <w:szCs w:val="24"/>
        </w:rPr>
        <w:t>in the relevant areas</w:t>
      </w:r>
      <w:r w:rsidRPr="00C53012">
        <w:rPr>
          <w:sz w:val="24"/>
          <w:szCs w:val="24"/>
        </w:rPr>
        <w:t>.</w:t>
      </w:r>
    </w:p>
    <w:p w14:paraId="173C4322" w14:textId="5BAF5C5D" w:rsidR="00300487" w:rsidRPr="00534287" w:rsidRDefault="00534287" w:rsidP="00534287">
      <w:pPr>
        <w:jc w:val="both"/>
        <w:rPr>
          <w:b/>
          <w:sz w:val="24"/>
          <w:szCs w:val="24"/>
        </w:rPr>
      </w:pPr>
      <w:r w:rsidRPr="00534287">
        <w:rPr>
          <w:b/>
          <w:bCs/>
          <w:sz w:val="24"/>
          <w:szCs w:val="24"/>
        </w:rPr>
        <w:t xml:space="preserve">3. Duration and </w:t>
      </w:r>
      <w:r w:rsidR="00E84D21">
        <w:rPr>
          <w:b/>
          <w:bCs/>
          <w:sz w:val="24"/>
          <w:szCs w:val="24"/>
        </w:rPr>
        <w:t>P</w:t>
      </w:r>
      <w:r w:rsidRPr="00534287">
        <w:rPr>
          <w:b/>
          <w:bCs/>
          <w:sz w:val="24"/>
          <w:szCs w:val="24"/>
        </w:rPr>
        <w:t xml:space="preserve">roposed </w:t>
      </w:r>
      <w:r w:rsidR="00E84D21">
        <w:rPr>
          <w:b/>
          <w:bCs/>
          <w:sz w:val="24"/>
          <w:szCs w:val="24"/>
        </w:rPr>
        <w:t>T</w:t>
      </w:r>
      <w:r w:rsidRPr="00534287">
        <w:rPr>
          <w:b/>
          <w:bCs/>
          <w:sz w:val="24"/>
          <w:szCs w:val="24"/>
        </w:rPr>
        <w:t>imeframe</w:t>
      </w:r>
    </w:p>
    <w:p w14:paraId="7A611AC3" w14:textId="6DA46C6C" w:rsidR="00AD0E09" w:rsidRPr="00D51ECE" w:rsidRDefault="00AD0E09" w:rsidP="00AD0E09">
      <w:pPr>
        <w:pBdr>
          <w:top w:val="nil"/>
          <w:left w:val="nil"/>
          <w:bottom w:val="nil"/>
          <w:right w:val="nil"/>
          <w:between w:val="nil"/>
        </w:pBdr>
        <w:spacing w:line="240" w:lineRule="auto"/>
        <w:jc w:val="both"/>
        <w:rPr>
          <w:rFonts w:eastAsia="Calibri" w:cstheme="minorHAnsi"/>
          <w:color w:val="000000"/>
          <w:sz w:val="24"/>
          <w:szCs w:val="24"/>
        </w:rPr>
      </w:pPr>
      <w:r w:rsidRPr="00A646C2">
        <w:rPr>
          <w:rFonts w:eastAsia="Calibri" w:cstheme="minorHAnsi"/>
          <w:color w:val="000000"/>
          <w:sz w:val="24"/>
          <w:szCs w:val="24"/>
        </w:rPr>
        <w:t xml:space="preserve">This consultancy assignment is expected to start </w:t>
      </w:r>
      <w:r w:rsidR="00F878D5" w:rsidRPr="00C97A95">
        <w:rPr>
          <w:rFonts w:eastAsia="Calibri" w:cstheme="minorHAnsi"/>
          <w:color w:val="000000"/>
          <w:sz w:val="24"/>
          <w:szCs w:val="24"/>
        </w:rPr>
        <w:t>on</w:t>
      </w:r>
      <w:r w:rsidR="00C46949">
        <w:rPr>
          <w:rFonts w:eastAsia="Calibri" w:cstheme="minorHAnsi"/>
          <w:color w:val="000000"/>
          <w:sz w:val="24"/>
          <w:szCs w:val="24"/>
        </w:rPr>
        <w:t xml:space="preserve"> </w:t>
      </w:r>
      <w:r w:rsidR="00C97A95" w:rsidRPr="00C97A95">
        <w:rPr>
          <w:rFonts w:eastAsia="Calibri" w:cstheme="minorHAnsi"/>
          <w:color w:val="000000"/>
          <w:sz w:val="24"/>
          <w:szCs w:val="24"/>
        </w:rPr>
        <w:t>April</w:t>
      </w:r>
      <w:r w:rsidR="00A41FC8" w:rsidRPr="00C97A95">
        <w:rPr>
          <w:rFonts w:eastAsia="Calibri" w:cstheme="minorHAnsi"/>
          <w:color w:val="000000"/>
          <w:sz w:val="24"/>
          <w:szCs w:val="24"/>
        </w:rPr>
        <w:t xml:space="preserve"> </w:t>
      </w:r>
      <w:r w:rsidR="00C46949" w:rsidRPr="00C97A95">
        <w:rPr>
          <w:rFonts w:eastAsia="Calibri" w:cstheme="minorHAnsi"/>
          <w:color w:val="000000"/>
          <w:sz w:val="24"/>
          <w:szCs w:val="24"/>
        </w:rPr>
        <w:t>202</w:t>
      </w:r>
      <w:r w:rsidR="00D14326" w:rsidRPr="00C97A95">
        <w:rPr>
          <w:rFonts w:eastAsia="Calibri" w:cstheme="minorHAnsi"/>
          <w:color w:val="000000"/>
          <w:sz w:val="24"/>
          <w:szCs w:val="24"/>
        </w:rPr>
        <w:t>4</w:t>
      </w:r>
      <w:r w:rsidR="00C46949" w:rsidRPr="00C97A95">
        <w:rPr>
          <w:rFonts w:eastAsia="Calibri" w:cstheme="minorHAnsi"/>
          <w:color w:val="000000"/>
          <w:sz w:val="24"/>
          <w:szCs w:val="24"/>
        </w:rPr>
        <w:t xml:space="preserve"> </w:t>
      </w:r>
      <w:r w:rsidR="00C46949" w:rsidRPr="00C46949">
        <w:rPr>
          <w:rFonts w:eastAsia="Calibri" w:cstheme="minorHAnsi"/>
          <w:color w:val="000000"/>
          <w:sz w:val="24"/>
          <w:szCs w:val="24"/>
        </w:rPr>
        <w:t xml:space="preserve">with an estimated overall duration </w:t>
      </w:r>
      <w:r w:rsidR="00C97A95" w:rsidRPr="00C97A95">
        <w:rPr>
          <w:rFonts w:eastAsia="Calibri" w:cstheme="minorHAnsi"/>
          <w:color w:val="000000"/>
          <w:sz w:val="24"/>
          <w:szCs w:val="24"/>
        </w:rPr>
        <w:t>of 2 months with possible extension until August 2025</w:t>
      </w:r>
      <w:r w:rsidR="00C97A95">
        <w:rPr>
          <w:rFonts w:eastAsia="Calibri" w:cstheme="minorHAnsi"/>
          <w:color w:val="000000"/>
          <w:sz w:val="24"/>
          <w:szCs w:val="24"/>
          <w:lang w:val="uk-UA"/>
        </w:rPr>
        <w:t xml:space="preserve">. </w:t>
      </w:r>
      <w:r w:rsidR="00D51ECE">
        <w:rPr>
          <w:rFonts w:eastAsia="Calibri" w:cstheme="minorHAnsi"/>
          <w:color w:val="000000"/>
          <w:sz w:val="24"/>
          <w:szCs w:val="24"/>
        </w:rPr>
        <w:t>The duration</w:t>
      </w:r>
      <w:r w:rsidR="00452CB6" w:rsidRPr="00D51ECE">
        <w:rPr>
          <w:rFonts w:eastAsia="Calibri" w:cstheme="minorHAnsi"/>
          <w:color w:val="000000"/>
          <w:sz w:val="24"/>
          <w:szCs w:val="24"/>
        </w:rPr>
        <w:t xml:space="preserve"> of the assignment will depend on the availability of funding, </w:t>
      </w:r>
      <w:r w:rsidR="00D51ECE">
        <w:rPr>
          <w:rFonts w:eastAsia="Calibri" w:cstheme="minorHAnsi"/>
          <w:color w:val="000000"/>
          <w:sz w:val="24"/>
          <w:szCs w:val="24"/>
        </w:rPr>
        <w:t xml:space="preserve">the </w:t>
      </w:r>
      <w:r w:rsidR="00452CB6" w:rsidRPr="00D51ECE">
        <w:rPr>
          <w:rFonts w:eastAsia="Calibri" w:cstheme="minorHAnsi"/>
          <w:color w:val="000000"/>
          <w:sz w:val="24"/>
          <w:szCs w:val="24"/>
        </w:rPr>
        <w:t xml:space="preserve">needs of the URA programme and </w:t>
      </w:r>
      <w:r w:rsidR="00D51ECE">
        <w:rPr>
          <w:rFonts w:eastAsia="Calibri" w:cstheme="minorHAnsi"/>
          <w:color w:val="000000"/>
          <w:sz w:val="24"/>
          <w:szCs w:val="24"/>
        </w:rPr>
        <w:t xml:space="preserve">the </w:t>
      </w:r>
      <w:r w:rsidR="00452CB6" w:rsidRPr="00D51ECE">
        <w:rPr>
          <w:rFonts w:eastAsia="Calibri" w:cstheme="minorHAnsi"/>
          <w:color w:val="000000"/>
          <w:sz w:val="24"/>
          <w:szCs w:val="24"/>
        </w:rPr>
        <w:t xml:space="preserve">performance of the selected consultant. </w:t>
      </w:r>
    </w:p>
    <w:p w14:paraId="4DF46C08" w14:textId="7EE775B1" w:rsidR="00300487" w:rsidRPr="00534287" w:rsidRDefault="00534287" w:rsidP="00534287">
      <w:pPr>
        <w:jc w:val="both"/>
        <w:rPr>
          <w:b/>
          <w:bCs/>
          <w:sz w:val="24"/>
          <w:szCs w:val="24"/>
        </w:rPr>
      </w:pPr>
      <w:r w:rsidRPr="00534287">
        <w:rPr>
          <w:b/>
          <w:bCs/>
          <w:sz w:val="24"/>
          <w:szCs w:val="24"/>
        </w:rPr>
        <w:t xml:space="preserve">4. Main Duties, Responsibilities and Deliverables </w:t>
      </w:r>
    </w:p>
    <w:p w14:paraId="25EF2DCE" w14:textId="4829215C" w:rsidR="0050680D" w:rsidRDefault="002E3F4C" w:rsidP="007D291B">
      <w:pPr>
        <w:pStyle w:val="a7"/>
        <w:numPr>
          <w:ilvl w:val="0"/>
          <w:numId w:val="4"/>
        </w:numPr>
        <w:jc w:val="both"/>
        <w:rPr>
          <w:sz w:val="24"/>
          <w:szCs w:val="24"/>
          <w:lang w:val="en-US"/>
        </w:rPr>
      </w:pPr>
      <w:r>
        <w:rPr>
          <w:sz w:val="24"/>
          <w:szCs w:val="24"/>
          <w:lang w:val="en-US"/>
        </w:rPr>
        <w:t xml:space="preserve">overall </w:t>
      </w:r>
      <w:r w:rsidR="003B415B">
        <w:rPr>
          <w:sz w:val="24"/>
          <w:szCs w:val="24"/>
          <w:lang w:val="en-US"/>
        </w:rPr>
        <w:t>steam management</w:t>
      </w:r>
      <w:r w:rsidR="0050680D">
        <w:rPr>
          <w:sz w:val="24"/>
          <w:szCs w:val="24"/>
          <w:lang w:val="en-US"/>
        </w:rPr>
        <w:t>:</w:t>
      </w:r>
    </w:p>
    <w:p w14:paraId="6BBDCFF7" w14:textId="353FD5D9" w:rsidR="00C63E91" w:rsidRDefault="00B1386B" w:rsidP="00A859F6">
      <w:pPr>
        <w:pStyle w:val="a7"/>
        <w:numPr>
          <w:ilvl w:val="1"/>
          <w:numId w:val="4"/>
        </w:numPr>
        <w:jc w:val="both"/>
        <w:rPr>
          <w:sz w:val="24"/>
          <w:szCs w:val="24"/>
          <w:lang w:val="en-US"/>
        </w:rPr>
      </w:pPr>
      <w:r>
        <w:rPr>
          <w:sz w:val="24"/>
          <w:szCs w:val="24"/>
          <w:lang w:val="en-US"/>
        </w:rPr>
        <w:t xml:space="preserve">tracking </w:t>
      </w:r>
      <w:r w:rsidR="00C63E91" w:rsidRPr="007D291B">
        <w:rPr>
          <w:sz w:val="24"/>
          <w:szCs w:val="24"/>
          <w:lang w:val="en-US"/>
        </w:rPr>
        <w:t xml:space="preserve">monthly activities, </w:t>
      </w:r>
      <w:r>
        <w:rPr>
          <w:sz w:val="24"/>
          <w:szCs w:val="24"/>
          <w:lang w:val="en-US"/>
        </w:rPr>
        <w:t xml:space="preserve">updating </w:t>
      </w:r>
      <w:r w:rsidR="00C63E91" w:rsidRPr="007D291B">
        <w:rPr>
          <w:sz w:val="24"/>
          <w:szCs w:val="24"/>
          <w:lang w:val="en-US"/>
        </w:rPr>
        <w:t>timeline</w:t>
      </w:r>
      <w:r>
        <w:rPr>
          <w:sz w:val="24"/>
          <w:szCs w:val="24"/>
          <w:lang w:val="en-US"/>
        </w:rPr>
        <w:t>s, monitoring</w:t>
      </w:r>
      <w:r w:rsidR="00C63E91" w:rsidRPr="007D291B">
        <w:rPr>
          <w:sz w:val="24"/>
          <w:szCs w:val="24"/>
          <w:lang w:val="en-US"/>
        </w:rPr>
        <w:t xml:space="preserve"> implementation, reporting on activities</w:t>
      </w:r>
      <w:r w:rsidR="00F47474">
        <w:rPr>
          <w:sz w:val="24"/>
          <w:szCs w:val="24"/>
          <w:lang w:val="en-US"/>
        </w:rPr>
        <w:t xml:space="preserve"> as per approved Work Plan</w:t>
      </w:r>
      <w:r w:rsidR="0050680D">
        <w:rPr>
          <w:sz w:val="24"/>
          <w:szCs w:val="24"/>
          <w:lang w:val="en-US"/>
        </w:rPr>
        <w:t>;</w:t>
      </w:r>
    </w:p>
    <w:p w14:paraId="4F11123F" w14:textId="77777777" w:rsidR="00833B7F" w:rsidRPr="00833B7F" w:rsidRDefault="00833B7F" w:rsidP="00833B7F">
      <w:pPr>
        <w:pStyle w:val="a7"/>
        <w:numPr>
          <w:ilvl w:val="1"/>
          <w:numId w:val="4"/>
        </w:numPr>
        <w:rPr>
          <w:sz w:val="24"/>
          <w:szCs w:val="24"/>
          <w:lang w:val="en-US"/>
        </w:rPr>
      </w:pPr>
      <w:r w:rsidRPr="00833B7F">
        <w:rPr>
          <w:sz w:val="24"/>
          <w:szCs w:val="24"/>
          <w:lang w:val="en-US"/>
        </w:rPr>
        <w:t>providing recommendations for policy adjustments or enhancements to align with evolving energy trends and international standards;</w:t>
      </w:r>
    </w:p>
    <w:p w14:paraId="12473FC1" w14:textId="0FB41E0A" w:rsidR="00833B7F" w:rsidRPr="00C53012" w:rsidRDefault="00833B7F" w:rsidP="00A859F6">
      <w:pPr>
        <w:pStyle w:val="a7"/>
        <w:numPr>
          <w:ilvl w:val="1"/>
          <w:numId w:val="4"/>
        </w:numPr>
        <w:jc w:val="both"/>
        <w:rPr>
          <w:sz w:val="24"/>
          <w:szCs w:val="24"/>
        </w:rPr>
      </w:pPr>
      <w:r w:rsidRPr="00C53012">
        <w:rPr>
          <w:sz w:val="24"/>
          <w:szCs w:val="24"/>
        </w:rPr>
        <w:t>participating in the development of a comprehensive strategy for attracting grant assistance, ensuring alignment with the Restoration Project of Winterization and Energy Resources (Re-PoWER)</w:t>
      </w:r>
      <w:r w:rsidR="00A859F6">
        <w:rPr>
          <w:sz w:val="24"/>
          <w:szCs w:val="24"/>
        </w:rPr>
        <w:t>;</w:t>
      </w:r>
    </w:p>
    <w:p w14:paraId="10D87395" w14:textId="2EA6E127" w:rsidR="00833B7F" w:rsidRPr="00C63E91" w:rsidRDefault="00833B7F" w:rsidP="00A859F6">
      <w:pPr>
        <w:pStyle w:val="a7"/>
        <w:numPr>
          <w:ilvl w:val="1"/>
          <w:numId w:val="4"/>
        </w:numPr>
        <w:jc w:val="both"/>
        <w:rPr>
          <w:sz w:val="24"/>
          <w:szCs w:val="24"/>
          <w:lang w:val="en-US"/>
        </w:rPr>
      </w:pPr>
      <w:r>
        <w:rPr>
          <w:sz w:val="24"/>
          <w:szCs w:val="24"/>
          <w:lang w:val="en-US"/>
        </w:rPr>
        <w:t xml:space="preserve">developing </w:t>
      </w:r>
      <w:r w:rsidRPr="002F0F79">
        <w:rPr>
          <w:sz w:val="24"/>
          <w:szCs w:val="24"/>
          <w:lang w:val="en-US"/>
        </w:rPr>
        <w:t>strategies to align Ukraine's</w:t>
      </w:r>
      <w:r w:rsidR="00D14326">
        <w:rPr>
          <w:sz w:val="24"/>
          <w:szCs w:val="24"/>
          <w:lang w:val="en-US"/>
        </w:rPr>
        <w:t xml:space="preserve"> aid </w:t>
      </w:r>
      <w:r w:rsidRPr="002F0F79">
        <w:rPr>
          <w:sz w:val="24"/>
          <w:szCs w:val="24"/>
          <w:lang w:val="en-US"/>
        </w:rPr>
        <w:t>projects</w:t>
      </w:r>
      <w:r w:rsidR="00D14326">
        <w:rPr>
          <w:sz w:val="24"/>
          <w:szCs w:val="24"/>
          <w:lang w:val="en-US"/>
        </w:rPr>
        <w:t xml:space="preserve"> in the energy sector</w:t>
      </w:r>
      <w:r w:rsidRPr="002F0F79">
        <w:rPr>
          <w:sz w:val="24"/>
          <w:szCs w:val="24"/>
          <w:lang w:val="en-US"/>
        </w:rPr>
        <w:t xml:space="preserve"> with the eligibility criteria and priorities of European </w:t>
      </w:r>
      <w:r w:rsidR="0058302D">
        <w:rPr>
          <w:sz w:val="24"/>
          <w:szCs w:val="24"/>
          <w:lang w:val="en-US"/>
        </w:rPr>
        <w:t xml:space="preserve">aid </w:t>
      </w:r>
      <w:r w:rsidRPr="002F0F79">
        <w:rPr>
          <w:sz w:val="24"/>
          <w:szCs w:val="24"/>
          <w:lang w:val="en-US"/>
        </w:rPr>
        <w:t>programs</w:t>
      </w:r>
      <w:r>
        <w:rPr>
          <w:sz w:val="24"/>
          <w:szCs w:val="24"/>
          <w:lang w:val="en-US"/>
        </w:rPr>
        <w:t>;</w:t>
      </w:r>
    </w:p>
    <w:p w14:paraId="15A52496" w14:textId="6CF192EC" w:rsidR="00833B7F" w:rsidRPr="002F5D1F" w:rsidRDefault="00833B7F" w:rsidP="00C63E91">
      <w:pPr>
        <w:pStyle w:val="a7"/>
        <w:numPr>
          <w:ilvl w:val="0"/>
          <w:numId w:val="4"/>
        </w:numPr>
        <w:jc w:val="both"/>
        <w:rPr>
          <w:sz w:val="24"/>
          <w:szCs w:val="24"/>
          <w:lang w:val="uk-UA"/>
        </w:rPr>
      </w:pPr>
      <w:r>
        <w:rPr>
          <w:sz w:val="24"/>
          <w:szCs w:val="24"/>
          <w:lang w:val="en-US"/>
        </w:rPr>
        <w:t>support the Ministry</w:t>
      </w:r>
      <w:r w:rsidR="00A6029C">
        <w:rPr>
          <w:sz w:val="24"/>
          <w:szCs w:val="24"/>
          <w:lang w:val="en-US"/>
        </w:rPr>
        <w:t>’s cooperation</w:t>
      </w:r>
      <w:r>
        <w:rPr>
          <w:sz w:val="24"/>
          <w:szCs w:val="24"/>
          <w:lang w:val="en-US"/>
        </w:rPr>
        <w:t xml:space="preserve"> with </w:t>
      </w:r>
      <w:r w:rsidRPr="002F5D1F">
        <w:rPr>
          <w:sz w:val="24"/>
          <w:szCs w:val="24"/>
          <w:lang w:val="en-US"/>
        </w:rPr>
        <w:t>international donors and financial partners</w:t>
      </w:r>
      <w:r w:rsidR="0050680D" w:rsidRPr="002F5D1F">
        <w:rPr>
          <w:sz w:val="24"/>
          <w:szCs w:val="24"/>
          <w:lang w:val="en-US"/>
        </w:rPr>
        <w:t xml:space="preserve"> in line with the priorities of the annual </w:t>
      </w:r>
      <w:r w:rsidR="00B618DB">
        <w:rPr>
          <w:sz w:val="24"/>
          <w:szCs w:val="24"/>
          <w:lang w:val="en-US"/>
        </w:rPr>
        <w:t>E</w:t>
      </w:r>
      <w:r w:rsidR="0050680D" w:rsidRPr="002F5D1F">
        <w:rPr>
          <w:sz w:val="24"/>
          <w:szCs w:val="24"/>
          <w:lang w:val="en-US"/>
        </w:rPr>
        <w:t>nlargement Report on Ukraine 2023, Ukraine Facility for 2024-2027 and NECP of Ukraine by 2030</w:t>
      </w:r>
      <w:r w:rsidR="00EE1A3F" w:rsidRPr="002F5D1F">
        <w:rPr>
          <w:sz w:val="24"/>
          <w:szCs w:val="24"/>
          <w:lang w:val="en-US"/>
        </w:rPr>
        <w:t xml:space="preserve"> (to be adopted in 2024)</w:t>
      </w:r>
      <w:r w:rsidRPr="002F5D1F">
        <w:rPr>
          <w:sz w:val="24"/>
          <w:szCs w:val="24"/>
          <w:lang w:val="en-US"/>
        </w:rPr>
        <w:t>:</w:t>
      </w:r>
    </w:p>
    <w:p w14:paraId="4E16C6D8" w14:textId="573DC352" w:rsidR="00C63E91" w:rsidRDefault="002F0F79" w:rsidP="00833B7F">
      <w:pPr>
        <w:pStyle w:val="a7"/>
        <w:numPr>
          <w:ilvl w:val="1"/>
          <w:numId w:val="4"/>
        </w:numPr>
        <w:jc w:val="both"/>
        <w:rPr>
          <w:sz w:val="24"/>
          <w:szCs w:val="24"/>
          <w:lang w:val="en-US"/>
        </w:rPr>
      </w:pPr>
      <w:r>
        <w:rPr>
          <w:sz w:val="24"/>
          <w:szCs w:val="24"/>
          <w:lang w:val="en-US"/>
        </w:rPr>
        <w:t>analyzing</w:t>
      </w:r>
      <w:r w:rsidR="0054305E" w:rsidRPr="002F0F79">
        <w:rPr>
          <w:sz w:val="24"/>
          <w:szCs w:val="24"/>
          <w:lang w:val="en-US"/>
        </w:rPr>
        <w:t xml:space="preserve"> national and international energy policies to identify opportunities and challenges for sustainable recovery and investment support;</w:t>
      </w:r>
    </w:p>
    <w:p w14:paraId="411B3F1F" w14:textId="12F0328B" w:rsidR="00833B7F" w:rsidRPr="00833B7F" w:rsidRDefault="00833B7F" w:rsidP="00833B7F">
      <w:pPr>
        <w:pStyle w:val="a7"/>
        <w:numPr>
          <w:ilvl w:val="1"/>
          <w:numId w:val="4"/>
        </w:numPr>
        <w:rPr>
          <w:sz w:val="24"/>
          <w:szCs w:val="24"/>
          <w:lang w:val="uk-UA"/>
        </w:rPr>
      </w:pPr>
      <w:r w:rsidRPr="00833B7F">
        <w:rPr>
          <w:sz w:val="24"/>
          <w:szCs w:val="24"/>
          <w:lang w:val="en-US"/>
        </w:rPr>
        <w:t>coordinating the development and implementation of the Ministry of Energy's priority initiatives in the field of energy infrastructure restoration, and development of the capacity to attract investment in the energy sector;</w:t>
      </w:r>
    </w:p>
    <w:p w14:paraId="406B2066" w14:textId="77777777" w:rsidR="00833B7F" w:rsidRPr="0054305E" w:rsidRDefault="00833B7F" w:rsidP="00833B7F">
      <w:pPr>
        <w:pStyle w:val="a7"/>
        <w:numPr>
          <w:ilvl w:val="1"/>
          <w:numId w:val="4"/>
        </w:numPr>
        <w:jc w:val="both"/>
        <w:rPr>
          <w:sz w:val="24"/>
          <w:szCs w:val="24"/>
          <w:lang w:val="uk-UA"/>
        </w:rPr>
      </w:pPr>
      <w:r>
        <w:rPr>
          <w:sz w:val="24"/>
          <w:szCs w:val="24"/>
          <w:lang w:val="en-US"/>
        </w:rPr>
        <w:t>c</w:t>
      </w:r>
      <w:r w:rsidRPr="00C63E91">
        <w:rPr>
          <w:sz w:val="24"/>
          <w:szCs w:val="24"/>
          <w:lang w:val="en-US"/>
        </w:rPr>
        <w:t>ollecting and analyzing investment projects for energy recovery and development;</w:t>
      </w:r>
    </w:p>
    <w:p w14:paraId="1F77F5F3" w14:textId="77777777" w:rsidR="00833B7F" w:rsidRPr="00B33644" w:rsidRDefault="00833B7F" w:rsidP="00833B7F">
      <w:pPr>
        <w:pStyle w:val="a7"/>
        <w:numPr>
          <w:ilvl w:val="1"/>
          <w:numId w:val="4"/>
        </w:numPr>
        <w:jc w:val="both"/>
        <w:rPr>
          <w:sz w:val="24"/>
          <w:szCs w:val="24"/>
          <w:lang w:val="en-US"/>
        </w:rPr>
      </w:pPr>
      <w:r>
        <w:rPr>
          <w:sz w:val="24"/>
          <w:szCs w:val="24"/>
          <w:lang w:val="en-US"/>
        </w:rPr>
        <w:t xml:space="preserve">evaluating </w:t>
      </w:r>
      <w:r w:rsidRPr="00B33644">
        <w:rPr>
          <w:sz w:val="24"/>
          <w:szCs w:val="24"/>
          <w:lang w:val="en-US"/>
        </w:rPr>
        <w:t>emerging technologies in the energy sector and assess their feasibility for implementation in Ukraine</w:t>
      </w:r>
      <w:r>
        <w:rPr>
          <w:sz w:val="24"/>
          <w:szCs w:val="24"/>
          <w:lang w:val="en-US"/>
        </w:rPr>
        <w:t>;</w:t>
      </w:r>
    </w:p>
    <w:p w14:paraId="38D9F53B" w14:textId="2C42F0D1" w:rsidR="00833B7F" w:rsidRPr="002F0F79" w:rsidRDefault="00833B7F" w:rsidP="00A859F6">
      <w:pPr>
        <w:pStyle w:val="a7"/>
        <w:numPr>
          <w:ilvl w:val="1"/>
          <w:numId w:val="4"/>
        </w:numPr>
        <w:jc w:val="both"/>
        <w:rPr>
          <w:sz w:val="24"/>
          <w:szCs w:val="24"/>
          <w:lang w:val="en-US"/>
        </w:rPr>
      </w:pPr>
      <w:r>
        <w:rPr>
          <w:sz w:val="24"/>
          <w:szCs w:val="24"/>
          <w:lang w:val="en-US"/>
        </w:rPr>
        <w:t xml:space="preserve">identifying </w:t>
      </w:r>
      <w:r w:rsidRPr="002F0F79">
        <w:rPr>
          <w:sz w:val="24"/>
          <w:szCs w:val="24"/>
          <w:lang w:val="en-US"/>
        </w:rPr>
        <w:t xml:space="preserve">potential grant sources, both domestic and international, and </w:t>
      </w:r>
      <w:r>
        <w:rPr>
          <w:sz w:val="24"/>
          <w:szCs w:val="24"/>
          <w:lang w:val="en-US"/>
        </w:rPr>
        <w:t>establishing</w:t>
      </w:r>
      <w:r w:rsidRPr="002F0F79">
        <w:rPr>
          <w:sz w:val="24"/>
          <w:szCs w:val="24"/>
          <w:lang w:val="en-US"/>
        </w:rPr>
        <w:t xml:space="preserve"> effective </w:t>
      </w:r>
      <w:r w:rsidR="00C91A55">
        <w:rPr>
          <w:sz w:val="24"/>
          <w:szCs w:val="24"/>
          <w:lang w:val="en-US"/>
        </w:rPr>
        <w:t>c</w:t>
      </w:r>
      <w:r w:rsidR="00C4714B">
        <w:rPr>
          <w:sz w:val="24"/>
          <w:szCs w:val="24"/>
          <w:lang w:val="en-US"/>
        </w:rPr>
        <w:t>ommunication</w:t>
      </w:r>
      <w:r w:rsidRPr="002F0F79">
        <w:rPr>
          <w:sz w:val="24"/>
          <w:szCs w:val="24"/>
          <w:lang w:val="en-US"/>
        </w:rPr>
        <w:t xml:space="preserve"> with </w:t>
      </w:r>
      <w:r w:rsidR="00C91A55">
        <w:rPr>
          <w:sz w:val="24"/>
          <w:szCs w:val="24"/>
          <w:lang w:val="en-US"/>
        </w:rPr>
        <w:t>stakeholders</w:t>
      </w:r>
      <w:r w:rsidR="00C4714B">
        <w:rPr>
          <w:sz w:val="24"/>
          <w:szCs w:val="24"/>
          <w:lang w:val="en-US"/>
        </w:rPr>
        <w:t xml:space="preserve"> </w:t>
      </w:r>
      <w:r w:rsidR="00C4714B" w:rsidRPr="00B33644">
        <w:rPr>
          <w:sz w:val="24"/>
          <w:szCs w:val="24"/>
          <w:lang w:val="en-US"/>
        </w:rPr>
        <w:t>interested in supporting sustainable recovery initiatives</w:t>
      </w:r>
      <w:r w:rsidRPr="002F0F79">
        <w:rPr>
          <w:sz w:val="24"/>
          <w:szCs w:val="24"/>
          <w:lang w:val="en-US"/>
        </w:rPr>
        <w:t>;</w:t>
      </w:r>
    </w:p>
    <w:p w14:paraId="4D7CD469" w14:textId="6D15B5C6" w:rsidR="00C63E91" w:rsidRPr="00C63E91" w:rsidRDefault="00D27576" w:rsidP="00C63E91">
      <w:pPr>
        <w:pStyle w:val="a7"/>
        <w:numPr>
          <w:ilvl w:val="0"/>
          <w:numId w:val="4"/>
        </w:numPr>
        <w:jc w:val="both"/>
        <w:rPr>
          <w:sz w:val="24"/>
          <w:szCs w:val="24"/>
          <w:lang w:val="uk-UA"/>
        </w:rPr>
      </w:pPr>
      <w:r>
        <w:rPr>
          <w:sz w:val="24"/>
          <w:szCs w:val="24"/>
          <w:lang w:val="en-US"/>
        </w:rPr>
        <w:t>c</w:t>
      </w:r>
      <w:r w:rsidR="00C63E91" w:rsidRPr="00C63E91">
        <w:rPr>
          <w:sz w:val="24"/>
          <w:szCs w:val="24"/>
          <w:lang w:val="en-US"/>
        </w:rPr>
        <w:t xml:space="preserve">oordinating </w:t>
      </w:r>
      <w:r w:rsidR="00B33644">
        <w:rPr>
          <w:sz w:val="24"/>
          <w:szCs w:val="24"/>
          <w:lang w:val="en-US"/>
        </w:rPr>
        <w:t>the</w:t>
      </w:r>
      <w:r w:rsidR="00C63E91" w:rsidRPr="00C63E91">
        <w:rPr>
          <w:sz w:val="24"/>
          <w:szCs w:val="24"/>
          <w:lang w:val="en-US"/>
        </w:rPr>
        <w:t xml:space="preserve"> preparation and finalizing of strategic documents:</w:t>
      </w:r>
    </w:p>
    <w:p w14:paraId="61B66CD4" w14:textId="4F500CA5" w:rsidR="00C63E91" w:rsidRPr="0058302D" w:rsidRDefault="00C63E91" w:rsidP="0097631A">
      <w:pPr>
        <w:pStyle w:val="a7"/>
        <w:numPr>
          <w:ilvl w:val="1"/>
          <w:numId w:val="4"/>
        </w:numPr>
        <w:jc w:val="both"/>
        <w:rPr>
          <w:sz w:val="24"/>
          <w:szCs w:val="24"/>
          <w:lang w:val="uk-UA"/>
        </w:rPr>
      </w:pPr>
      <w:r w:rsidRPr="00C63E91">
        <w:rPr>
          <w:sz w:val="24"/>
          <w:szCs w:val="24"/>
          <w:lang w:val="en-US"/>
        </w:rPr>
        <w:t xml:space="preserve">Evaluation and </w:t>
      </w:r>
      <w:r w:rsidR="0097631A">
        <w:rPr>
          <w:sz w:val="24"/>
          <w:szCs w:val="24"/>
          <w:lang w:val="en-US"/>
        </w:rPr>
        <w:t>L</w:t>
      </w:r>
      <w:r w:rsidRPr="00C63E91">
        <w:rPr>
          <w:sz w:val="24"/>
          <w:szCs w:val="24"/>
          <w:lang w:val="en-US"/>
        </w:rPr>
        <w:t xml:space="preserve">earning on </w:t>
      </w:r>
      <w:r w:rsidR="0097631A">
        <w:rPr>
          <w:sz w:val="24"/>
          <w:szCs w:val="24"/>
          <w:lang w:val="en-US"/>
        </w:rPr>
        <w:t>P</w:t>
      </w:r>
      <w:r w:rsidRPr="00C63E91">
        <w:rPr>
          <w:sz w:val="24"/>
          <w:szCs w:val="24"/>
          <w:lang w:val="en-US"/>
        </w:rPr>
        <w:t xml:space="preserve">ast </w:t>
      </w:r>
      <w:r w:rsidR="0097631A">
        <w:rPr>
          <w:sz w:val="24"/>
          <w:szCs w:val="24"/>
          <w:lang w:val="en-US"/>
        </w:rPr>
        <w:t>I</w:t>
      </w:r>
      <w:r w:rsidRPr="00C63E91">
        <w:rPr>
          <w:sz w:val="24"/>
          <w:szCs w:val="24"/>
          <w:lang w:val="en-US"/>
        </w:rPr>
        <w:t xml:space="preserve">nvestment </w:t>
      </w:r>
      <w:r w:rsidR="0097631A">
        <w:rPr>
          <w:sz w:val="24"/>
          <w:szCs w:val="24"/>
          <w:lang w:val="en-US"/>
        </w:rPr>
        <w:t>P</w:t>
      </w:r>
      <w:r w:rsidRPr="00C63E91">
        <w:rPr>
          <w:sz w:val="24"/>
          <w:szCs w:val="24"/>
          <w:lang w:val="en-US"/>
        </w:rPr>
        <w:t>rojects</w:t>
      </w:r>
      <w:r w:rsidR="004266FD">
        <w:rPr>
          <w:sz w:val="24"/>
          <w:szCs w:val="24"/>
          <w:lang w:val="en-US"/>
        </w:rPr>
        <w:t xml:space="preserve"> document</w:t>
      </w:r>
      <w:r w:rsidR="0097631A">
        <w:rPr>
          <w:sz w:val="24"/>
          <w:szCs w:val="24"/>
          <w:lang w:val="uk-UA"/>
        </w:rPr>
        <w:t xml:space="preserve"> (</w:t>
      </w:r>
      <w:r w:rsidR="0097631A">
        <w:rPr>
          <w:sz w:val="24"/>
          <w:szCs w:val="24"/>
          <w:lang w:val="en-US"/>
        </w:rPr>
        <w:t xml:space="preserve">including suggesting </w:t>
      </w:r>
      <w:r w:rsidRPr="00C63E91">
        <w:rPr>
          <w:sz w:val="24"/>
          <w:szCs w:val="24"/>
          <w:lang w:val="en-US"/>
        </w:rPr>
        <w:t>ways to streamline procurement, establish</w:t>
      </w:r>
      <w:r w:rsidR="0097631A">
        <w:rPr>
          <w:sz w:val="24"/>
          <w:szCs w:val="24"/>
          <w:lang w:val="en-US"/>
        </w:rPr>
        <w:t xml:space="preserve">ing </w:t>
      </w:r>
      <w:r w:rsidRPr="00C63E91">
        <w:rPr>
          <w:sz w:val="24"/>
          <w:szCs w:val="24"/>
          <w:lang w:val="en-US"/>
        </w:rPr>
        <w:t>accelerated project pipelines for recurring partnerships, deliver</w:t>
      </w:r>
      <w:r w:rsidR="0097631A">
        <w:rPr>
          <w:sz w:val="24"/>
          <w:szCs w:val="24"/>
          <w:lang w:val="en-US"/>
        </w:rPr>
        <w:t>ing</w:t>
      </w:r>
      <w:r w:rsidRPr="00C63E91">
        <w:rPr>
          <w:sz w:val="24"/>
          <w:szCs w:val="24"/>
          <w:lang w:val="en-US"/>
        </w:rPr>
        <w:t xml:space="preserve"> analytics and advi</w:t>
      </w:r>
      <w:r w:rsidR="0097631A">
        <w:rPr>
          <w:sz w:val="24"/>
          <w:szCs w:val="24"/>
          <w:lang w:val="en-US"/>
        </w:rPr>
        <w:t>sing on methods</w:t>
      </w:r>
      <w:r w:rsidRPr="00C63E91">
        <w:rPr>
          <w:sz w:val="24"/>
          <w:szCs w:val="24"/>
          <w:lang w:val="en-US"/>
        </w:rPr>
        <w:t xml:space="preserve"> to optimize EU investment flows</w:t>
      </w:r>
      <w:r w:rsidR="0097631A">
        <w:rPr>
          <w:sz w:val="24"/>
          <w:szCs w:val="24"/>
          <w:lang w:val="en-US"/>
        </w:rPr>
        <w:t>);</w:t>
      </w:r>
    </w:p>
    <w:p w14:paraId="5CE55A5E" w14:textId="414C4BA0" w:rsidR="003D6083" w:rsidRPr="0058302D" w:rsidRDefault="003D6083" w:rsidP="003D6083">
      <w:pPr>
        <w:pStyle w:val="a7"/>
        <w:numPr>
          <w:ilvl w:val="1"/>
          <w:numId w:val="4"/>
        </w:numPr>
        <w:jc w:val="both"/>
        <w:rPr>
          <w:bCs/>
          <w:sz w:val="24"/>
          <w:szCs w:val="24"/>
          <w:lang w:val="uk-UA"/>
        </w:rPr>
      </w:pPr>
      <w:r w:rsidRPr="0058302D">
        <w:rPr>
          <w:bCs/>
          <w:color w:val="000000"/>
          <w:sz w:val="24"/>
          <w:szCs w:val="24"/>
        </w:rPr>
        <w:t xml:space="preserve">concept paper / recommendations on implementation of priority </w:t>
      </w:r>
      <w:r w:rsidR="003A5AF2">
        <w:rPr>
          <w:bCs/>
          <w:color w:val="000000"/>
          <w:sz w:val="24"/>
          <w:szCs w:val="24"/>
        </w:rPr>
        <w:t xml:space="preserve">sustainable </w:t>
      </w:r>
      <w:r w:rsidRPr="0058302D">
        <w:rPr>
          <w:bCs/>
          <w:color w:val="000000"/>
          <w:sz w:val="24"/>
          <w:szCs w:val="24"/>
        </w:rPr>
        <w:t>investment and recovery projects for Ukraine’s energy sector;</w:t>
      </w:r>
    </w:p>
    <w:p w14:paraId="5FAED968" w14:textId="419F28CC" w:rsidR="00C63E91" w:rsidRPr="00C63E91" w:rsidRDefault="00D27576" w:rsidP="00C63E91">
      <w:pPr>
        <w:pStyle w:val="a7"/>
        <w:numPr>
          <w:ilvl w:val="1"/>
          <w:numId w:val="4"/>
        </w:numPr>
        <w:jc w:val="both"/>
        <w:rPr>
          <w:sz w:val="24"/>
          <w:szCs w:val="24"/>
          <w:lang w:val="uk-UA"/>
        </w:rPr>
      </w:pPr>
      <w:r>
        <w:rPr>
          <w:sz w:val="24"/>
          <w:szCs w:val="24"/>
          <w:lang w:val="en-US"/>
        </w:rPr>
        <w:lastRenderedPageBreak/>
        <w:t>g</w:t>
      </w:r>
      <w:r w:rsidR="00C63E91" w:rsidRPr="00C63E91">
        <w:rPr>
          <w:sz w:val="24"/>
          <w:szCs w:val="24"/>
          <w:lang w:val="en-US"/>
        </w:rPr>
        <w:t>uidelines and recommendations on Ukraine's participation in European financial support programs and funds (LIFE, Connecting Europe Facility, decarbonization funds and other facilities);</w:t>
      </w:r>
    </w:p>
    <w:p w14:paraId="4A92D7E2" w14:textId="0B2BE59A" w:rsidR="00C63E91" w:rsidRPr="00C63E91" w:rsidRDefault="00D27576" w:rsidP="00C63E91">
      <w:pPr>
        <w:pStyle w:val="a7"/>
        <w:numPr>
          <w:ilvl w:val="1"/>
          <w:numId w:val="4"/>
        </w:numPr>
        <w:jc w:val="both"/>
        <w:rPr>
          <w:sz w:val="24"/>
          <w:szCs w:val="24"/>
          <w:lang w:val="uk-UA"/>
        </w:rPr>
      </w:pPr>
      <w:r>
        <w:rPr>
          <w:sz w:val="24"/>
          <w:szCs w:val="24"/>
          <w:lang w:val="en-US"/>
        </w:rPr>
        <w:t>r</w:t>
      </w:r>
      <w:r w:rsidR="00C63E91" w:rsidRPr="00C63E91">
        <w:rPr>
          <w:sz w:val="24"/>
          <w:szCs w:val="24"/>
          <w:lang w:val="en-US"/>
        </w:rPr>
        <w:t>ecommendations on negotiation position in the process of attracting support for the restoration of the energy sector</w:t>
      </w:r>
      <w:r w:rsidR="0050680D">
        <w:rPr>
          <w:sz w:val="24"/>
          <w:szCs w:val="24"/>
          <w:lang w:val="en-US"/>
        </w:rPr>
        <w:t xml:space="preserve"> in line with the priorities of the </w:t>
      </w:r>
      <w:r w:rsidR="0050680D" w:rsidRPr="0050680D">
        <w:rPr>
          <w:sz w:val="24"/>
          <w:szCs w:val="24"/>
          <w:lang w:val="en-US"/>
        </w:rPr>
        <w:t xml:space="preserve">annual </w:t>
      </w:r>
      <w:r w:rsidR="00B618DB">
        <w:rPr>
          <w:sz w:val="24"/>
          <w:szCs w:val="24"/>
          <w:lang w:val="en-US"/>
        </w:rPr>
        <w:t>E</w:t>
      </w:r>
      <w:r w:rsidR="0050680D" w:rsidRPr="0050680D">
        <w:rPr>
          <w:sz w:val="24"/>
          <w:szCs w:val="24"/>
          <w:lang w:val="en-US"/>
        </w:rPr>
        <w:t xml:space="preserve">nlargement </w:t>
      </w:r>
      <w:r w:rsidR="0050680D">
        <w:rPr>
          <w:sz w:val="24"/>
          <w:szCs w:val="24"/>
          <w:lang w:val="en-US"/>
        </w:rPr>
        <w:t>R</w:t>
      </w:r>
      <w:r w:rsidR="0050680D" w:rsidRPr="0050680D">
        <w:rPr>
          <w:sz w:val="24"/>
          <w:szCs w:val="24"/>
          <w:lang w:val="en-US"/>
        </w:rPr>
        <w:t>eport on Ukrain</w:t>
      </w:r>
      <w:r w:rsidR="0050680D">
        <w:rPr>
          <w:sz w:val="24"/>
          <w:szCs w:val="24"/>
          <w:lang w:val="en-US"/>
        </w:rPr>
        <w:t>e 2023</w:t>
      </w:r>
      <w:r w:rsidR="0050680D">
        <w:rPr>
          <w:sz w:val="24"/>
          <w:szCs w:val="24"/>
          <w:lang w:val="uk-UA"/>
        </w:rPr>
        <w:t>;</w:t>
      </w:r>
    </w:p>
    <w:p w14:paraId="6286768E" w14:textId="795AB694" w:rsidR="00B74410" w:rsidRPr="00ED43BA" w:rsidRDefault="003D6083" w:rsidP="00B74410">
      <w:pPr>
        <w:pStyle w:val="a7"/>
        <w:numPr>
          <w:ilvl w:val="1"/>
          <w:numId w:val="4"/>
        </w:numPr>
        <w:jc w:val="both"/>
        <w:rPr>
          <w:bCs/>
          <w:sz w:val="24"/>
          <w:szCs w:val="24"/>
          <w:lang w:val="uk-UA"/>
        </w:rPr>
      </w:pPr>
      <w:r>
        <w:rPr>
          <w:bCs/>
          <w:color w:val="000000"/>
          <w:sz w:val="24"/>
          <w:szCs w:val="24"/>
        </w:rPr>
        <w:t>a</w:t>
      </w:r>
      <w:r w:rsidRPr="0058302D">
        <w:rPr>
          <w:bCs/>
          <w:color w:val="000000"/>
          <w:sz w:val="24"/>
          <w:szCs w:val="24"/>
        </w:rPr>
        <w:t xml:space="preserve"> vision of the multi-donor platform</w:t>
      </w:r>
      <w:r w:rsidR="005B5832">
        <w:rPr>
          <w:bCs/>
          <w:color w:val="000000"/>
          <w:sz w:val="24"/>
          <w:szCs w:val="24"/>
        </w:rPr>
        <w:t>s</w:t>
      </w:r>
      <w:r w:rsidRPr="0058302D">
        <w:rPr>
          <w:bCs/>
          <w:color w:val="000000"/>
          <w:sz w:val="24"/>
          <w:szCs w:val="24"/>
        </w:rPr>
        <w:t xml:space="preserve"> effective functioning in part of energy</w:t>
      </w:r>
      <w:r w:rsidR="00B74410">
        <w:rPr>
          <w:bCs/>
          <w:color w:val="000000"/>
          <w:sz w:val="24"/>
          <w:szCs w:val="24"/>
        </w:rPr>
        <w:t xml:space="preserve"> </w:t>
      </w:r>
      <w:r w:rsidR="00B74410">
        <w:rPr>
          <w:sz w:val="24"/>
          <w:szCs w:val="24"/>
          <w:lang w:val="en-US"/>
        </w:rPr>
        <w:t xml:space="preserve">(inc. IRENA fund, Regular online G7+ meetings on Ukraine energy sector support, International Advisory Energy Council, and others) </w:t>
      </w:r>
      <w:r w:rsidRPr="0058302D">
        <w:rPr>
          <w:bCs/>
          <w:color w:val="000000"/>
          <w:sz w:val="24"/>
          <w:szCs w:val="24"/>
        </w:rPr>
        <w:t xml:space="preserve">and </w:t>
      </w:r>
      <w:r w:rsidR="004266FD">
        <w:rPr>
          <w:bCs/>
          <w:color w:val="000000"/>
          <w:sz w:val="24"/>
          <w:szCs w:val="24"/>
        </w:rPr>
        <w:t>providing r</w:t>
      </w:r>
      <w:r w:rsidRPr="0058302D">
        <w:rPr>
          <w:bCs/>
          <w:color w:val="000000"/>
          <w:sz w:val="24"/>
          <w:szCs w:val="24"/>
        </w:rPr>
        <w:t>ecommendations on negotiation position and legal framework development in attracting support for energy sector recovery and restoration</w:t>
      </w:r>
      <w:r>
        <w:rPr>
          <w:bCs/>
          <w:color w:val="000000"/>
          <w:sz w:val="24"/>
          <w:szCs w:val="24"/>
        </w:rPr>
        <w:t>;</w:t>
      </w:r>
    </w:p>
    <w:p w14:paraId="640A4576" w14:textId="4D2A0C23" w:rsidR="00B74410" w:rsidRPr="00ED43BA" w:rsidRDefault="00B74410" w:rsidP="00ED43BA">
      <w:pPr>
        <w:pStyle w:val="a7"/>
        <w:numPr>
          <w:ilvl w:val="1"/>
          <w:numId w:val="4"/>
        </w:numPr>
        <w:jc w:val="both"/>
        <w:rPr>
          <w:bCs/>
          <w:sz w:val="24"/>
          <w:szCs w:val="24"/>
          <w:lang w:val="uk-UA"/>
        </w:rPr>
      </w:pPr>
      <w:r w:rsidRPr="00ED43BA">
        <w:rPr>
          <w:sz w:val="24"/>
          <w:szCs w:val="24"/>
          <w:lang w:val="en-US"/>
        </w:rPr>
        <w:t xml:space="preserve">support the Ministry’s activity in different coordination mechanisms and </w:t>
      </w:r>
      <w:r w:rsidR="0003025F">
        <w:rPr>
          <w:sz w:val="24"/>
          <w:szCs w:val="24"/>
          <w:lang w:val="en-US"/>
        </w:rPr>
        <w:t xml:space="preserve">multi-donor </w:t>
      </w:r>
      <w:r w:rsidRPr="00ED43BA">
        <w:rPr>
          <w:sz w:val="24"/>
          <w:szCs w:val="24"/>
          <w:lang w:val="en-US"/>
        </w:rPr>
        <w:t>platforms as well as in bilateral and multilateral energy partnerships (German-Ukrainian Energy Partnership, Ukraine-Denmark Energy Partnership Program, Ukraine-USA Energy Partnership, Clean Energy Partnership and others):</w:t>
      </w:r>
    </w:p>
    <w:p w14:paraId="7917B5CD" w14:textId="281B3C89" w:rsidR="00B74410" w:rsidRDefault="00B74410" w:rsidP="00ED43BA">
      <w:pPr>
        <w:pStyle w:val="a7"/>
        <w:numPr>
          <w:ilvl w:val="2"/>
          <w:numId w:val="4"/>
        </w:numPr>
        <w:jc w:val="both"/>
        <w:rPr>
          <w:sz w:val="24"/>
          <w:szCs w:val="24"/>
          <w:lang w:val="en-US"/>
        </w:rPr>
      </w:pPr>
      <w:r>
        <w:rPr>
          <w:sz w:val="24"/>
          <w:szCs w:val="24"/>
          <w:lang w:val="en-US"/>
        </w:rPr>
        <w:t xml:space="preserve">defining the new areas of possible cooperation </w:t>
      </w:r>
      <w:r w:rsidR="00C4714B">
        <w:rPr>
          <w:sz w:val="24"/>
          <w:szCs w:val="24"/>
          <w:lang w:val="en-US"/>
        </w:rPr>
        <w:t>for</w:t>
      </w:r>
      <w:r>
        <w:rPr>
          <w:sz w:val="24"/>
          <w:szCs w:val="24"/>
          <w:lang w:val="en-US"/>
        </w:rPr>
        <w:t xml:space="preserve"> energy recovery and investment projects;</w:t>
      </w:r>
    </w:p>
    <w:p w14:paraId="1DA675EE" w14:textId="77777777" w:rsidR="00B74410" w:rsidRPr="00BB23A9" w:rsidRDefault="00B74410" w:rsidP="00ED43BA">
      <w:pPr>
        <w:pStyle w:val="a7"/>
        <w:numPr>
          <w:ilvl w:val="2"/>
          <w:numId w:val="4"/>
        </w:numPr>
        <w:jc w:val="both"/>
        <w:rPr>
          <w:sz w:val="24"/>
          <w:szCs w:val="24"/>
          <w:lang w:val="en-US"/>
        </w:rPr>
      </w:pPr>
      <w:r>
        <w:rPr>
          <w:sz w:val="24"/>
          <w:szCs w:val="24"/>
          <w:lang w:val="en-US"/>
        </w:rPr>
        <w:t xml:space="preserve">fostering cooperation and </w:t>
      </w:r>
      <w:r w:rsidRPr="00B33644">
        <w:rPr>
          <w:sz w:val="24"/>
          <w:szCs w:val="24"/>
          <w:lang w:val="en-US"/>
        </w:rPr>
        <w:t>partnerships</w:t>
      </w:r>
      <w:r>
        <w:rPr>
          <w:sz w:val="24"/>
          <w:szCs w:val="24"/>
          <w:lang w:val="en-US"/>
        </w:rPr>
        <w:t xml:space="preserve"> </w:t>
      </w:r>
      <w:r w:rsidRPr="00833B7F">
        <w:rPr>
          <w:sz w:val="24"/>
          <w:szCs w:val="24"/>
          <w:lang w:val="en-US"/>
        </w:rPr>
        <w:t>in the field of energy infrastructure restoration, and development of the capacity to attract investment in the energy sector</w:t>
      </w:r>
      <w:r>
        <w:rPr>
          <w:sz w:val="24"/>
          <w:szCs w:val="24"/>
          <w:lang w:val="en-US"/>
        </w:rPr>
        <w:t>;</w:t>
      </w:r>
    </w:p>
    <w:p w14:paraId="19D4FC1A" w14:textId="10F2B1B8" w:rsidR="00B74410" w:rsidRPr="00ED43BA" w:rsidRDefault="00B74410" w:rsidP="00ED43BA">
      <w:pPr>
        <w:pStyle w:val="a7"/>
        <w:numPr>
          <w:ilvl w:val="2"/>
          <w:numId w:val="4"/>
        </w:numPr>
        <w:jc w:val="both"/>
        <w:rPr>
          <w:sz w:val="24"/>
          <w:szCs w:val="24"/>
          <w:lang w:val="en-US"/>
        </w:rPr>
      </w:pPr>
      <w:r>
        <w:rPr>
          <w:sz w:val="24"/>
          <w:szCs w:val="24"/>
          <w:lang w:val="en-US"/>
        </w:rPr>
        <w:t xml:space="preserve">communicating </w:t>
      </w:r>
      <w:r w:rsidRPr="00C63E91">
        <w:rPr>
          <w:sz w:val="24"/>
          <w:szCs w:val="24"/>
          <w:lang w:val="en-US"/>
        </w:rPr>
        <w:t>with</w:t>
      </w:r>
      <w:r>
        <w:rPr>
          <w:sz w:val="24"/>
          <w:szCs w:val="24"/>
          <w:lang w:val="en-US"/>
        </w:rPr>
        <w:t xml:space="preserve"> stakeholders on development and implementation of energy recovery and investment projects;</w:t>
      </w:r>
    </w:p>
    <w:p w14:paraId="4A646BD9" w14:textId="31F443E2" w:rsidR="003D6083" w:rsidRPr="0058302D" w:rsidRDefault="003D6083" w:rsidP="00C63E91">
      <w:pPr>
        <w:pStyle w:val="a7"/>
        <w:numPr>
          <w:ilvl w:val="1"/>
          <w:numId w:val="4"/>
        </w:numPr>
        <w:jc w:val="both"/>
        <w:rPr>
          <w:bCs/>
          <w:sz w:val="24"/>
          <w:szCs w:val="24"/>
          <w:lang w:val="uk-UA"/>
        </w:rPr>
      </w:pPr>
      <w:r>
        <w:rPr>
          <w:bCs/>
          <w:color w:val="000000"/>
          <w:sz w:val="24"/>
          <w:szCs w:val="24"/>
        </w:rPr>
        <w:t>g</w:t>
      </w:r>
      <w:r w:rsidRPr="0058302D">
        <w:rPr>
          <w:bCs/>
          <w:color w:val="000000"/>
          <w:sz w:val="24"/>
          <w:szCs w:val="24"/>
        </w:rPr>
        <w:t xml:space="preserve">uidelines and recommendations on preparation of digital projects for the energy sector of Ukraine (data hub with smart meters, data </w:t>
      </w:r>
      <w:r w:rsidRPr="003D6083">
        <w:rPr>
          <w:bCs/>
          <w:color w:val="000000"/>
          <w:sz w:val="24"/>
          <w:szCs w:val="24"/>
        </w:rPr>
        <w:t>centres</w:t>
      </w:r>
      <w:r w:rsidRPr="0058302D">
        <w:rPr>
          <w:bCs/>
          <w:color w:val="000000"/>
          <w:sz w:val="24"/>
          <w:szCs w:val="24"/>
        </w:rPr>
        <w:t xml:space="preserve"> etc.) including recommendations on negotiation position and legal framework development</w:t>
      </w:r>
      <w:r>
        <w:rPr>
          <w:bCs/>
          <w:color w:val="000000"/>
          <w:sz w:val="24"/>
          <w:szCs w:val="24"/>
        </w:rPr>
        <w:t>;</w:t>
      </w:r>
    </w:p>
    <w:p w14:paraId="64D070CB" w14:textId="74E7B0AE" w:rsidR="003D6083" w:rsidRPr="003D6083" w:rsidRDefault="003D6083" w:rsidP="00C63E91">
      <w:pPr>
        <w:pStyle w:val="a7"/>
        <w:numPr>
          <w:ilvl w:val="1"/>
          <w:numId w:val="4"/>
        </w:numPr>
        <w:jc w:val="both"/>
        <w:rPr>
          <w:bCs/>
          <w:sz w:val="24"/>
          <w:szCs w:val="24"/>
          <w:lang w:val="uk-UA"/>
        </w:rPr>
      </w:pPr>
      <w:r>
        <w:rPr>
          <w:bCs/>
          <w:color w:val="000000"/>
          <w:sz w:val="24"/>
          <w:szCs w:val="24"/>
        </w:rPr>
        <w:t>g</w:t>
      </w:r>
      <w:r w:rsidRPr="0058302D">
        <w:rPr>
          <w:bCs/>
          <w:color w:val="000000"/>
          <w:sz w:val="24"/>
          <w:szCs w:val="24"/>
        </w:rPr>
        <w:t>uidelines and recommendations on investment opportunities in Ukraine’s energy sector including description of possible traditional energy and renewable energy projects for investments and recovery</w:t>
      </w:r>
      <w:r>
        <w:rPr>
          <w:bCs/>
          <w:color w:val="000000"/>
          <w:sz w:val="24"/>
          <w:szCs w:val="24"/>
        </w:rPr>
        <w:t>;</w:t>
      </w:r>
    </w:p>
    <w:p w14:paraId="519EF930" w14:textId="77777777" w:rsidR="00934C9B" w:rsidRPr="00A859F6" w:rsidRDefault="00833B7F" w:rsidP="00833B7F">
      <w:pPr>
        <w:pStyle w:val="a7"/>
        <w:numPr>
          <w:ilvl w:val="0"/>
          <w:numId w:val="4"/>
        </w:numPr>
        <w:jc w:val="both"/>
        <w:rPr>
          <w:sz w:val="24"/>
          <w:szCs w:val="24"/>
        </w:rPr>
      </w:pPr>
      <w:r>
        <w:rPr>
          <w:sz w:val="24"/>
          <w:szCs w:val="24"/>
          <w:lang w:val="en-US"/>
        </w:rPr>
        <w:t xml:space="preserve">support the Ministry </w:t>
      </w:r>
      <w:r w:rsidR="00934C9B">
        <w:rPr>
          <w:sz w:val="24"/>
          <w:szCs w:val="24"/>
          <w:lang w:val="en-US"/>
        </w:rPr>
        <w:t>in obtaining humanitarian aid for restoration:</w:t>
      </w:r>
    </w:p>
    <w:p w14:paraId="61E3B48C" w14:textId="0FBD0F80" w:rsidR="00833B7F" w:rsidRDefault="00833B7F" w:rsidP="00934C9B">
      <w:pPr>
        <w:pStyle w:val="a7"/>
        <w:numPr>
          <w:ilvl w:val="1"/>
          <w:numId w:val="4"/>
        </w:numPr>
        <w:jc w:val="both"/>
        <w:rPr>
          <w:sz w:val="24"/>
          <w:szCs w:val="24"/>
        </w:rPr>
      </w:pPr>
      <w:r>
        <w:rPr>
          <w:sz w:val="24"/>
          <w:szCs w:val="24"/>
          <w:lang w:val="en-US"/>
        </w:rPr>
        <w:t>s</w:t>
      </w:r>
      <w:r w:rsidRPr="00C63E91">
        <w:rPr>
          <w:sz w:val="24"/>
          <w:szCs w:val="24"/>
          <w:lang w:val="en-US"/>
        </w:rPr>
        <w:t xml:space="preserve">upporting </w:t>
      </w:r>
      <w:r w:rsidRPr="00C53012">
        <w:rPr>
          <w:sz w:val="24"/>
          <w:szCs w:val="24"/>
        </w:rPr>
        <w:t>the workflow</w:t>
      </w:r>
      <w:r>
        <w:rPr>
          <w:sz w:val="24"/>
          <w:szCs w:val="24"/>
          <w:lang w:val="en-US"/>
        </w:rPr>
        <w:t xml:space="preserve"> </w:t>
      </w:r>
      <w:r w:rsidRPr="00C53012">
        <w:rPr>
          <w:sz w:val="24"/>
          <w:szCs w:val="24"/>
        </w:rPr>
        <w:t>of the Ukraine Energy Support Fund (UESF)</w:t>
      </w:r>
      <w:r w:rsidR="00934C9B">
        <w:rPr>
          <w:sz w:val="24"/>
          <w:szCs w:val="24"/>
          <w:lang w:val="en-US"/>
        </w:rPr>
        <w:t xml:space="preserve"> - </w:t>
      </w:r>
      <w:r w:rsidRPr="00A859F6">
        <w:rPr>
          <w:sz w:val="24"/>
          <w:szCs w:val="24"/>
          <w:lang w:val="en-US"/>
        </w:rPr>
        <w:t>lobby</w:t>
      </w:r>
      <w:r w:rsidR="00B618DB">
        <w:rPr>
          <w:sz w:val="24"/>
          <w:szCs w:val="24"/>
          <w:lang w:val="en-US"/>
        </w:rPr>
        <w:t>ing</w:t>
      </w:r>
      <w:r w:rsidRPr="00A859F6">
        <w:rPr>
          <w:sz w:val="24"/>
          <w:szCs w:val="24"/>
          <w:lang w:val="en-US"/>
        </w:rPr>
        <w:t xml:space="preserve"> for new contributions, in-kind support and other humanitarian aid</w:t>
      </w:r>
      <w:r w:rsidRPr="00A859F6">
        <w:rPr>
          <w:sz w:val="24"/>
          <w:szCs w:val="24"/>
        </w:rPr>
        <w:t>;</w:t>
      </w:r>
    </w:p>
    <w:p w14:paraId="0F16A42E" w14:textId="16CBE7BE" w:rsidR="00934C9B" w:rsidRDefault="00934C9B" w:rsidP="00934C9B">
      <w:pPr>
        <w:pStyle w:val="a7"/>
        <w:numPr>
          <w:ilvl w:val="1"/>
          <w:numId w:val="4"/>
        </w:numPr>
        <w:jc w:val="both"/>
        <w:rPr>
          <w:sz w:val="24"/>
          <w:szCs w:val="24"/>
          <w:lang w:val="en-US"/>
        </w:rPr>
      </w:pPr>
      <w:r>
        <w:rPr>
          <w:sz w:val="24"/>
          <w:szCs w:val="24"/>
          <w:lang w:val="en-US"/>
        </w:rPr>
        <w:t xml:space="preserve">communicating </w:t>
      </w:r>
      <w:r w:rsidRPr="00C63E91">
        <w:rPr>
          <w:sz w:val="24"/>
          <w:szCs w:val="24"/>
          <w:lang w:val="en-US"/>
        </w:rPr>
        <w:t>with humanitarian</w:t>
      </w:r>
      <w:r>
        <w:rPr>
          <w:sz w:val="24"/>
          <w:szCs w:val="24"/>
          <w:lang w:val="en-US"/>
        </w:rPr>
        <w:t xml:space="preserve"> </w:t>
      </w:r>
      <w:r w:rsidR="005165A0" w:rsidRPr="00C63E91">
        <w:rPr>
          <w:sz w:val="24"/>
          <w:szCs w:val="24"/>
          <w:lang w:val="en-US"/>
        </w:rPr>
        <w:t>organizations</w:t>
      </w:r>
      <w:r w:rsidRPr="00C63E91">
        <w:rPr>
          <w:sz w:val="24"/>
          <w:szCs w:val="24"/>
          <w:lang w:val="en-US"/>
        </w:rPr>
        <w:t xml:space="preserve"> which gather funds from world energy companies to finance and implement some energy projects in Ukraine for social </w:t>
      </w:r>
      <w:r w:rsidR="00E12ECE">
        <w:rPr>
          <w:sz w:val="24"/>
          <w:szCs w:val="24"/>
          <w:lang w:val="en-US"/>
        </w:rPr>
        <w:t>institution</w:t>
      </w:r>
      <w:r w:rsidRPr="00C63E91">
        <w:rPr>
          <w:sz w:val="24"/>
          <w:szCs w:val="24"/>
          <w:lang w:val="en-US"/>
        </w:rPr>
        <w:t>s (schools, hospitals etc.)</w:t>
      </w:r>
      <w:r>
        <w:rPr>
          <w:sz w:val="24"/>
          <w:szCs w:val="24"/>
          <w:lang w:val="en-US"/>
        </w:rPr>
        <w:t>;</w:t>
      </w:r>
    </w:p>
    <w:p w14:paraId="22DC8116" w14:textId="76555790" w:rsidR="007A4017" w:rsidRPr="00ED43BA" w:rsidRDefault="00934C9B" w:rsidP="00ED43BA">
      <w:pPr>
        <w:pStyle w:val="a7"/>
        <w:numPr>
          <w:ilvl w:val="1"/>
          <w:numId w:val="4"/>
        </w:numPr>
        <w:jc w:val="both"/>
        <w:rPr>
          <w:sz w:val="24"/>
          <w:szCs w:val="24"/>
          <w:lang w:val="en-US"/>
        </w:rPr>
      </w:pPr>
      <w:r>
        <w:rPr>
          <w:sz w:val="24"/>
          <w:szCs w:val="24"/>
          <w:lang w:val="en-US"/>
        </w:rPr>
        <w:t xml:space="preserve">fostering </w:t>
      </w:r>
      <w:r w:rsidRPr="00B33644">
        <w:rPr>
          <w:sz w:val="24"/>
          <w:szCs w:val="24"/>
          <w:lang w:val="en-US"/>
        </w:rPr>
        <w:t xml:space="preserve">strategic partnerships with international organizations, governments, and industry partners to share best practices, access global expertise and enhance the effectiveness of the </w:t>
      </w:r>
      <w:r w:rsidRPr="0050680D">
        <w:rPr>
          <w:sz w:val="24"/>
          <w:szCs w:val="24"/>
          <w:lang w:val="en-US"/>
        </w:rPr>
        <w:t>UESF</w:t>
      </w:r>
      <w:r w:rsidRPr="00B33644">
        <w:rPr>
          <w:sz w:val="24"/>
          <w:szCs w:val="24"/>
          <w:lang w:val="en-US"/>
        </w:rPr>
        <w:t>;</w:t>
      </w:r>
    </w:p>
    <w:p w14:paraId="261D1C3E" w14:textId="45888E94" w:rsidR="00934C9B" w:rsidRDefault="002E3F4C" w:rsidP="00C63E91">
      <w:pPr>
        <w:pStyle w:val="a7"/>
        <w:numPr>
          <w:ilvl w:val="0"/>
          <w:numId w:val="4"/>
        </w:numPr>
        <w:jc w:val="both"/>
        <w:rPr>
          <w:sz w:val="24"/>
          <w:szCs w:val="24"/>
          <w:lang w:val="en-US"/>
        </w:rPr>
      </w:pPr>
      <w:r>
        <w:rPr>
          <w:sz w:val="24"/>
          <w:szCs w:val="24"/>
          <w:lang w:val="en-US"/>
        </w:rPr>
        <w:t xml:space="preserve">project </w:t>
      </w:r>
      <w:r w:rsidR="00934C9B">
        <w:rPr>
          <w:sz w:val="24"/>
          <w:szCs w:val="24"/>
          <w:lang w:val="en-US"/>
        </w:rPr>
        <w:t>management, monitoring and reporting:</w:t>
      </w:r>
    </w:p>
    <w:p w14:paraId="479E8D23" w14:textId="71973CF6" w:rsidR="00C63E91" w:rsidRDefault="00D27576" w:rsidP="00934C9B">
      <w:pPr>
        <w:pStyle w:val="a7"/>
        <w:numPr>
          <w:ilvl w:val="1"/>
          <w:numId w:val="4"/>
        </w:numPr>
        <w:jc w:val="both"/>
        <w:rPr>
          <w:sz w:val="24"/>
          <w:szCs w:val="24"/>
          <w:lang w:val="en-US"/>
        </w:rPr>
      </w:pPr>
      <w:r>
        <w:rPr>
          <w:sz w:val="24"/>
          <w:szCs w:val="24"/>
          <w:lang w:val="en-US"/>
        </w:rPr>
        <w:t>resolving the</w:t>
      </w:r>
      <w:r w:rsidR="00C63E91" w:rsidRPr="00C63E91">
        <w:rPr>
          <w:sz w:val="24"/>
          <w:szCs w:val="24"/>
          <w:lang w:val="en-US"/>
        </w:rPr>
        <w:t xml:space="preserve"> problems and obstacles encountered during the</w:t>
      </w:r>
      <w:r w:rsidR="005165A0">
        <w:rPr>
          <w:sz w:val="24"/>
          <w:szCs w:val="24"/>
          <w:lang w:val="en-US"/>
        </w:rPr>
        <w:t xml:space="preserve"> RST activity</w:t>
      </w:r>
      <w:r w:rsidR="00C63E91" w:rsidRPr="00C63E91">
        <w:rPr>
          <w:sz w:val="24"/>
          <w:szCs w:val="24"/>
          <w:lang w:val="en-US"/>
        </w:rPr>
        <w:t xml:space="preserve">, identifying and communicating important issues </w:t>
      </w:r>
      <w:r w:rsidR="00A9126F">
        <w:rPr>
          <w:sz w:val="24"/>
          <w:szCs w:val="24"/>
          <w:lang w:val="en-US"/>
        </w:rPr>
        <w:t xml:space="preserve">in the expert’s areas of responsibility </w:t>
      </w:r>
      <w:r w:rsidR="0046381C">
        <w:rPr>
          <w:sz w:val="24"/>
          <w:szCs w:val="24"/>
          <w:lang w:val="en-US"/>
        </w:rPr>
        <w:t xml:space="preserve">that </w:t>
      </w:r>
      <w:r w:rsidR="00C63E91" w:rsidRPr="00C63E91">
        <w:rPr>
          <w:sz w:val="24"/>
          <w:szCs w:val="24"/>
          <w:lang w:val="en-US"/>
        </w:rPr>
        <w:t>requir</w:t>
      </w:r>
      <w:r w:rsidR="0046381C">
        <w:rPr>
          <w:sz w:val="24"/>
          <w:szCs w:val="24"/>
          <w:lang w:val="en-US"/>
        </w:rPr>
        <w:t>e</w:t>
      </w:r>
      <w:r w:rsidR="00E12ECE">
        <w:rPr>
          <w:sz w:val="24"/>
          <w:szCs w:val="24"/>
          <w:lang w:val="en-US"/>
        </w:rPr>
        <w:t xml:space="preserve"> </w:t>
      </w:r>
      <w:r w:rsidR="00C63E91" w:rsidRPr="00C63E91">
        <w:rPr>
          <w:sz w:val="24"/>
          <w:szCs w:val="24"/>
          <w:lang w:val="en-US"/>
        </w:rPr>
        <w:t>decision of RST Director and the Deputy Ministers;</w:t>
      </w:r>
    </w:p>
    <w:p w14:paraId="674E320E" w14:textId="4F0BC77F" w:rsidR="002F5D1F" w:rsidRPr="002F5D1F" w:rsidRDefault="002F5D1F" w:rsidP="00934C9B">
      <w:pPr>
        <w:pStyle w:val="a7"/>
        <w:numPr>
          <w:ilvl w:val="1"/>
          <w:numId w:val="4"/>
        </w:numPr>
        <w:jc w:val="both"/>
        <w:rPr>
          <w:sz w:val="24"/>
          <w:szCs w:val="24"/>
          <w:lang w:val="en-US"/>
        </w:rPr>
      </w:pPr>
      <w:r>
        <w:rPr>
          <w:sz w:val="24"/>
          <w:szCs w:val="24"/>
          <w:lang w:val="en-US"/>
        </w:rPr>
        <w:t>u</w:t>
      </w:r>
      <w:r w:rsidRPr="002F5D1F">
        <w:rPr>
          <w:sz w:val="24"/>
          <w:szCs w:val="24"/>
          <w:lang w:val="en-US"/>
        </w:rPr>
        <w:t>tilizing data analytics to assess the impact of energy recovery projects, inform decision-making processes, and implementing data-driven strategies for optimizing resource allocation and project prioritization;</w:t>
      </w:r>
    </w:p>
    <w:p w14:paraId="2DFA48AE" w14:textId="4377D5B4" w:rsidR="00252F45" w:rsidRDefault="00B33644" w:rsidP="00934C9B">
      <w:pPr>
        <w:pStyle w:val="a7"/>
        <w:numPr>
          <w:ilvl w:val="1"/>
          <w:numId w:val="4"/>
        </w:numPr>
        <w:jc w:val="both"/>
        <w:rPr>
          <w:sz w:val="24"/>
          <w:szCs w:val="24"/>
          <w:lang w:val="en-US"/>
        </w:rPr>
      </w:pPr>
      <w:r>
        <w:rPr>
          <w:sz w:val="24"/>
          <w:szCs w:val="24"/>
          <w:lang w:val="en-US"/>
        </w:rPr>
        <w:t>d</w:t>
      </w:r>
      <w:r w:rsidR="00252F45" w:rsidRPr="00B33644">
        <w:rPr>
          <w:sz w:val="24"/>
          <w:szCs w:val="24"/>
          <w:lang w:val="en-US"/>
        </w:rPr>
        <w:t>evelop</w:t>
      </w:r>
      <w:r>
        <w:rPr>
          <w:sz w:val="24"/>
          <w:szCs w:val="24"/>
          <w:lang w:val="en-US"/>
        </w:rPr>
        <w:t>ing</w:t>
      </w:r>
      <w:r w:rsidR="00252F45" w:rsidRPr="00B33644">
        <w:rPr>
          <w:sz w:val="24"/>
          <w:szCs w:val="24"/>
          <w:lang w:val="en-US"/>
        </w:rPr>
        <w:t xml:space="preserve"> a comprehensive monitoring and reporting framework to track the impact of energy recovery initiatives</w:t>
      </w:r>
      <w:r>
        <w:rPr>
          <w:sz w:val="24"/>
          <w:szCs w:val="24"/>
          <w:lang w:val="en-US"/>
        </w:rPr>
        <w:t>;</w:t>
      </w:r>
    </w:p>
    <w:p w14:paraId="649E1490" w14:textId="77777777" w:rsidR="00934C9B" w:rsidRPr="00B33644" w:rsidRDefault="00934C9B" w:rsidP="00A859F6">
      <w:pPr>
        <w:pStyle w:val="a7"/>
        <w:numPr>
          <w:ilvl w:val="1"/>
          <w:numId w:val="4"/>
        </w:numPr>
        <w:jc w:val="both"/>
        <w:rPr>
          <w:sz w:val="24"/>
          <w:szCs w:val="24"/>
          <w:lang w:val="en-US"/>
        </w:rPr>
      </w:pPr>
      <w:r>
        <w:rPr>
          <w:sz w:val="24"/>
          <w:szCs w:val="24"/>
          <w:lang w:val="en-US"/>
        </w:rPr>
        <w:lastRenderedPageBreak/>
        <w:t xml:space="preserve">providing </w:t>
      </w:r>
      <w:r w:rsidRPr="00B33644">
        <w:rPr>
          <w:sz w:val="24"/>
          <w:szCs w:val="24"/>
          <w:lang w:val="en-US"/>
        </w:rPr>
        <w:t>report progress and key performance indicators to stakeholders, including the public, donors, and government officials</w:t>
      </w:r>
      <w:r>
        <w:rPr>
          <w:sz w:val="24"/>
          <w:szCs w:val="24"/>
          <w:lang w:val="en-US"/>
        </w:rPr>
        <w:t>;</w:t>
      </w:r>
    </w:p>
    <w:p w14:paraId="5112323C" w14:textId="1A1FA4D4" w:rsidR="002F0F79" w:rsidRPr="00B33644" w:rsidRDefault="00B33644" w:rsidP="00D27576">
      <w:pPr>
        <w:pStyle w:val="a7"/>
        <w:numPr>
          <w:ilvl w:val="0"/>
          <w:numId w:val="4"/>
        </w:numPr>
        <w:jc w:val="both"/>
        <w:rPr>
          <w:sz w:val="24"/>
          <w:szCs w:val="24"/>
          <w:lang w:val="en-US"/>
        </w:rPr>
      </w:pPr>
      <w:r>
        <w:rPr>
          <w:sz w:val="24"/>
          <w:szCs w:val="24"/>
          <w:lang w:val="en-US"/>
        </w:rPr>
        <w:t>c</w:t>
      </w:r>
      <w:r w:rsidR="002F0F79" w:rsidRPr="00B33644">
        <w:rPr>
          <w:sz w:val="24"/>
          <w:szCs w:val="24"/>
          <w:lang w:val="en-US"/>
        </w:rPr>
        <w:t>ollaborat</w:t>
      </w:r>
      <w:r>
        <w:rPr>
          <w:sz w:val="24"/>
          <w:szCs w:val="24"/>
          <w:lang w:val="en-US"/>
        </w:rPr>
        <w:t>ing</w:t>
      </w:r>
      <w:r w:rsidR="002F0F79" w:rsidRPr="00B33644">
        <w:rPr>
          <w:sz w:val="24"/>
          <w:szCs w:val="24"/>
          <w:lang w:val="en-US"/>
        </w:rPr>
        <w:t xml:space="preserve"> with legal experts to assess and enhance the regulatory framework for energy recovery and investment support</w:t>
      </w:r>
      <w:r>
        <w:rPr>
          <w:sz w:val="24"/>
          <w:szCs w:val="24"/>
          <w:lang w:val="en-US"/>
        </w:rPr>
        <w:t>;</w:t>
      </w:r>
    </w:p>
    <w:p w14:paraId="00D4F672" w14:textId="460A7462" w:rsidR="002F0F79" w:rsidRPr="00B33644" w:rsidRDefault="00B33644" w:rsidP="00D27576">
      <w:pPr>
        <w:pStyle w:val="a7"/>
        <w:numPr>
          <w:ilvl w:val="0"/>
          <w:numId w:val="4"/>
        </w:numPr>
        <w:jc w:val="both"/>
        <w:rPr>
          <w:sz w:val="24"/>
          <w:szCs w:val="24"/>
          <w:lang w:val="en-US"/>
        </w:rPr>
      </w:pPr>
      <w:r>
        <w:rPr>
          <w:sz w:val="24"/>
          <w:szCs w:val="24"/>
          <w:lang w:val="en-US"/>
        </w:rPr>
        <w:t>p</w:t>
      </w:r>
      <w:r w:rsidR="002F0F79" w:rsidRPr="00B33644">
        <w:rPr>
          <w:sz w:val="24"/>
          <w:szCs w:val="24"/>
          <w:lang w:val="en-US"/>
        </w:rPr>
        <w:t>ropos</w:t>
      </w:r>
      <w:r>
        <w:rPr>
          <w:sz w:val="24"/>
          <w:szCs w:val="24"/>
          <w:lang w:val="en-US"/>
        </w:rPr>
        <w:t>ing</w:t>
      </w:r>
      <w:r w:rsidR="002F0F79" w:rsidRPr="00B33644">
        <w:rPr>
          <w:sz w:val="24"/>
          <w:szCs w:val="24"/>
          <w:lang w:val="en-US"/>
        </w:rPr>
        <w:t xml:space="preserve"> legislative amendments to create an enabling environment for sustainable energy projects</w:t>
      </w:r>
      <w:r>
        <w:rPr>
          <w:sz w:val="24"/>
          <w:szCs w:val="24"/>
          <w:lang w:val="en-US"/>
        </w:rPr>
        <w:t>;</w:t>
      </w:r>
    </w:p>
    <w:p w14:paraId="1CC95040" w14:textId="577C7C68" w:rsidR="00C63E91" w:rsidRPr="00B33644" w:rsidRDefault="00D27576" w:rsidP="00B33644">
      <w:pPr>
        <w:pStyle w:val="a7"/>
        <w:numPr>
          <w:ilvl w:val="0"/>
          <w:numId w:val="4"/>
        </w:numPr>
        <w:jc w:val="both"/>
        <w:rPr>
          <w:sz w:val="24"/>
          <w:szCs w:val="24"/>
          <w:lang w:val="uk-UA"/>
        </w:rPr>
      </w:pPr>
      <w:r>
        <w:rPr>
          <w:sz w:val="24"/>
          <w:szCs w:val="24"/>
          <w:lang w:val="en-US"/>
        </w:rPr>
        <w:t>o</w:t>
      </w:r>
      <w:r w:rsidR="00C63E91" w:rsidRPr="00C63E91">
        <w:rPr>
          <w:sz w:val="24"/>
          <w:szCs w:val="24"/>
          <w:lang w:val="en-US"/>
        </w:rPr>
        <w:t>ther tasks and responsibilities as assigned by the RST Director.</w:t>
      </w:r>
    </w:p>
    <w:p w14:paraId="17F22FA4" w14:textId="230A0B91" w:rsidR="00300487" w:rsidRPr="00534287" w:rsidRDefault="00534287" w:rsidP="00534287">
      <w:pPr>
        <w:jc w:val="both"/>
        <w:rPr>
          <w:b/>
          <w:bCs/>
          <w:sz w:val="24"/>
          <w:szCs w:val="24"/>
        </w:rPr>
      </w:pPr>
      <w:r w:rsidRPr="00534287">
        <w:rPr>
          <w:b/>
          <w:bCs/>
          <w:sz w:val="24"/>
          <w:szCs w:val="24"/>
        </w:rPr>
        <w:t xml:space="preserve">5. Qualifications, Skills and Experience </w:t>
      </w:r>
    </w:p>
    <w:p w14:paraId="411A6D3C" w14:textId="4E851F2E" w:rsidR="00300487" w:rsidRPr="00A646C2" w:rsidRDefault="00534287" w:rsidP="00A646C2">
      <w:pPr>
        <w:pStyle w:val="a7"/>
        <w:numPr>
          <w:ilvl w:val="1"/>
          <w:numId w:val="9"/>
        </w:numPr>
        <w:jc w:val="both"/>
        <w:rPr>
          <w:b/>
          <w:sz w:val="24"/>
          <w:szCs w:val="24"/>
        </w:rPr>
      </w:pPr>
      <w:r w:rsidRPr="00A646C2">
        <w:rPr>
          <w:b/>
          <w:sz w:val="24"/>
          <w:szCs w:val="24"/>
        </w:rPr>
        <w:t xml:space="preserve">Qualifications and </w:t>
      </w:r>
      <w:r w:rsidR="00FD6C3D" w:rsidRPr="00A646C2">
        <w:rPr>
          <w:b/>
          <w:sz w:val="24"/>
          <w:szCs w:val="24"/>
        </w:rPr>
        <w:t>S</w:t>
      </w:r>
      <w:r w:rsidRPr="00A646C2">
        <w:rPr>
          <w:b/>
          <w:sz w:val="24"/>
          <w:szCs w:val="24"/>
        </w:rPr>
        <w:t>kills</w:t>
      </w:r>
    </w:p>
    <w:p w14:paraId="72235D0E" w14:textId="5936D320" w:rsidR="00534AC1" w:rsidRPr="00A14527" w:rsidRDefault="00534AC1" w:rsidP="005C1C0F">
      <w:pPr>
        <w:pStyle w:val="a7"/>
        <w:numPr>
          <w:ilvl w:val="0"/>
          <w:numId w:val="4"/>
        </w:numPr>
        <w:jc w:val="both"/>
        <w:rPr>
          <w:sz w:val="24"/>
          <w:szCs w:val="24"/>
        </w:rPr>
      </w:pPr>
      <w:r w:rsidRPr="00A14527">
        <w:rPr>
          <w:sz w:val="24"/>
          <w:szCs w:val="24"/>
        </w:rPr>
        <w:t xml:space="preserve">Master’s degree in </w:t>
      </w:r>
      <w:r w:rsidR="005C1C0F">
        <w:rPr>
          <w:sz w:val="24"/>
          <w:szCs w:val="24"/>
        </w:rPr>
        <w:t>E</w:t>
      </w:r>
      <w:r>
        <w:rPr>
          <w:sz w:val="24"/>
          <w:szCs w:val="24"/>
        </w:rPr>
        <w:t>nergy</w:t>
      </w:r>
      <w:r w:rsidRPr="00A14527">
        <w:rPr>
          <w:sz w:val="24"/>
          <w:szCs w:val="24"/>
        </w:rPr>
        <w:t>,</w:t>
      </w:r>
      <w:r>
        <w:rPr>
          <w:sz w:val="24"/>
          <w:szCs w:val="24"/>
        </w:rPr>
        <w:t xml:space="preserve"> </w:t>
      </w:r>
      <w:r w:rsidR="005C1C0F">
        <w:rPr>
          <w:sz w:val="24"/>
          <w:szCs w:val="24"/>
        </w:rPr>
        <w:t>Engineering, Finance, Economics, Law or Ecology</w:t>
      </w:r>
      <w:r w:rsidRPr="00A14527">
        <w:rPr>
          <w:sz w:val="24"/>
          <w:szCs w:val="24"/>
        </w:rPr>
        <w:t>;</w:t>
      </w:r>
    </w:p>
    <w:p w14:paraId="51B5D2ED" w14:textId="2ADB53E8" w:rsidR="00534AC1" w:rsidRPr="00A14527" w:rsidRDefault="00B33644" w:rsidP="00534AC1">
      <w:pPr>
        <w:pStyle w:val="a7"/>
        <w:numPr>
          <w:ilvl w:val="0"/>
          <w:numId w:val="4"/>
        </w:numPr>
        <w:jc w:val="both"/>
        <w:rPr>
          <w:sz w:val="24"/>
          <w:szCs w:val="24"/>
        </w:rPr>
      </w:pPr>
      <w:r>
        <w:rPr>
          <w:sz w:val="24"/>
          <w:szCs w:val="24"/>
        </w:rPr>
        <w:t>s</w:t>
      </w:r>
      <w:r w:rsidR="00534AC1" w:rsidRPr="00A14527">
        <w:rPr>
          <w:sz w:val="24"/>
          <w:szCs w:val="24"/>
        </w:rPr>
        <w:t xml:space="preserve">trong </w:t>
      </w:r>
      <w:r w:rsidR="00452CB6">
        <w:rPr>
          <w:sz w:val="24"/>
          <w:szCs w:val="24"/>
        </w:rPr>
        <w:t>organisational</w:t>
      </w:r>
      <w:r w:rsidR="00534AC1" w:rsidRPr="00A14527">
        <w:rPr>
          <w:sz w:val="24"/>
          <w:szCs w:val="24"/>
        </w:rPr>
        <w:t xml:space="preserve"> management, communication and presentation</w:t>
      </w:r>
      <w:r>
        <w:rPr>
          <w:sz w:val="24"/>
          <w:szCs w:val="24"/>
        </w:rPr>
        <w:t xml:space="preserve"> </w:t>
      </w:r>
      <w:r w:rsidR="00534AC1" w:rsidRPr="00A14527">
        <w:rPr>
          <w:sz w:val="24"/>
          <w:szCs w:val="24"/>
        </w:rPr>
        <w:t>skills;</w:t>
      </w:r>
    </w:p>
    <w:p w14:paraId="24DD7BE1" w14:textId="25804014" w:rsidR="00534287" w:rsidRDefault="00B33644" w:rsidP="00534287">
      <w:pPr>
        <w:pStyle w:val="a7"/>
        <w:numPr>
          <w:ilvl w:val="0"/>
          <w:numId w:val="5"/>
        </w:numPr>
        <w:jc w:val="both"/>
        <w:rPr>
          <w:sz w:val="24"/>
          <w:szCs w:val="24"/>
        </w:rPr>
      </w:pPr>
      <w:r>
        <w:rPr>
          <w:sz w:val="24"/>
          <w:szCs w:val="24"/>
        </w:rPr>
        <w:t>p</w:t>
      </w:r>
      <w:r w:rsidR="00534287" w:rsidRPr="00534287">
        <w:rPr>
          <w:sz w:val="24"/>
          <w:szCs w:val="24"/>
        </w:rPr>
        <w:t>roven ability to</w:t>
      </w:r>
      <w:r w:rsidR="007740DF">
        <w:rPr>
          <w:sz w:val="24"/>
          <w:szCs w:val="24"/>
        </w:rPr>
        <w:t xml:space="preserve"> </w:t>
      </w:r>
      <w:r w:rsidR="00452CB6">
        <w:rPr>
          <w:sz w:val="24"/>
          <w:szCs w:val="24"/>
        </w:rPr>
        <w:t>organise</w:t>
      </w:r>
      <w:r w:rsidR="007740DF">
        <w:rPr>
          <w:sz w:val="24"/>
          <w:szCs w:val="24"/>
        </w:rPr>
        <w:t xml:space="preserve"> and</w:t>
      </w:r>
      <w:r w:rsidR="00534287" w:rsidRPr="00534287">
        <w:rPr>
          <w:sz w:val="24"/>
          <w:szCs w:val="24"/>
        </w:rPr>
        <w:t xml:space="preserve"> lead team</w:t>
      </w:r>
      <w:r w:rsidR="007740DF">
        <w:rPr>
          <w:sz w:val="24"/>
          <w:szCs w:val="24"/>
        </w:rPr>
        <w:t>s</w:t>
      </w:r>
      <w:r w:rsidR="00534287" w:rsidRPr="00534287">
        <w:rPr>
          <w:sz w:val="24"/>
          <w:szCs w:val="24"/>
        </w:rPr>
        <w:t xml:space="preserve"> in business or public organi</w:t>
      </w:r>
      <w:r w:rsidR="00FD6C3D">
        <w:rPr>
          <w:sz w:val="24"/>
          <w:szCs w:val="24"/>
        </w:rPr>
        <w:t>s</w:t>
      </w:r>
      <w:r w:rsidR="00534287" w:rsidRPr="00534287">
        <w:rPr>
          <w:sz w:val="24"/>
          <w:szCs w:val="24"/>
        </w:rPr>
        <w:t>ations</w:t>
      </w:r>
      <w:r w:rsidR="00FD6C3D">
        <w:rPr>
          <w:sz w:val="24"/>
          <w:szCs w:val="24"/>
        </w:rPr>
        <w:t>;</w:t>
      </w:r>
    </w:p>
    <w:p w14:paraId="5C78025F" w14:textId="49C92BF5" w:rsidR="00D65EDD" w:rsidRDefault="00B33644" w:rsidP="00534287">
      <w:pPr>
        <w:pStyle w:val="a7"/>
        <w:numPr>
          <w:ilvl w:val="0"/>
          <w:numId w:val="5"/>
        </w:numPr>
        <w:jc w:val="both"/>
        <w:rPr>
          <w:sz w:val="24"/>
          <w:szCs w:val="24"/>
        </w:rPr>
      </w:pPr>
      <w:r>
        <w:rPr>
          <w:sz w:val="24"/>
          <w:szCs w:val="24"/>
        </w:rPr>
        <w:t>f</w:t>
      </w:r>
      <w:r w:rsidR="00534287" w:rsidRPr="00534287">
        <w:rPr>
          <w:sz w:val="24"/>
          <w:szCs w:val="24"/>
        </w:rPr>
        <w:t>luency in Ukrainian and English</w:t>
      </w:r>
      <w:r w:rsidR="00D65EDD">
        <w:rPr>
          <w:sz w:val="24"/>
          <w:szCs w:val="24"/>
        </w:rPr>
        <w:t>;</w:t>
      </w:r>
    </w:p>
    <w:p w14:paraId="795D0378" w14:textId="75193463" w:rsidR="00300487" w:rsidRPr="00D51ECE" w:rsidRDefault="00D65EDD" w:rsidP="00D51ECE">
      <w:pPr>
        <w:pStyle w:val="a7"/>
        <w:numPr>
          <w:ilvl w:val="0"/>
          <w:numId w:val="5"/>
        </w:numPr>
        <w:spacing w:before="100" w:beforeAutospacing="1" w:after="100" w:afterAutospacing="1" w:line="240" w:lineRule="auto"/>
        <w:jc w:val="both"/>
        <w:rPr>
          <w:rFonts w:eastAsia="Times New Roman" w:cstheme="minorHAnsi"/>
          <w:color w:val="000000"/>
          <w:sz w:val="24"/>
          <w:szCs w:val="24"/>
          <w:lang w:eastAsia="uk-UA"/>
        </w:rPr>
      </w:pPr>
      <w:r w:rsidRPr="0031703B">
        <w:rPr>
          <w:rFonts w:eastAsia="Times New Roman" w:cstheme="minorHAnsi"/>
          <w:color w:val="000000"/>
          <w:sz w:val="24"/>
          <w:szCs w:val="24"/>
          <w:lang w:eastAsia="uk-UA"/>
        </w:rPr>
        <w:t>PC literacy.</w:t>
      </w:r>
    </w:p>
    <w:p w14:paraId="005B1739" w14:textId="47DF383C" w:rsidR="00300487" w:rsidRPr="00534287" w:rsidRDefault="00534287" w:rsidP="00534287">
      <w:pPr>
        <w:jc w:val="both"/>
        <w:rPr>
          <w:b/>
          <w:sz w:val="24"/>
          <w:szCs w:val="24"/>
        </w:rPr>
      </w:pPr>
      <w:r w:rsidRPr="00534287">
        <w:rPr>
          <w:b/>
          <w:sz w:val="24"/>
          <w:szCs w:val="24"/>
        </w:rPr>
        <w:t xml:space="preserve">5.2 </w:t>
      </w:r>
      <w:r w:rsidR="00FD6C3D">
        <w:rPr>
          <w:b/>
          <w:sz w:val="24"/>
          <w:szCs w:val="24"/>
        </w:rPr>
        <w:t>P</w:t>
      </w:r>
      <w:r w:rsidRPr="00534287">
        <w:rPr>
          <w:b/>
          <w:sz w:val="24"/>
          <w:szCs w:val="24"/>
        </w:rPr>
        <w:t xml:space="preserve">rofessional </w:t>
      </w:r>
      <w:r w:rsidR="00FD6C3D">
        <w:rPr>
          <w:b/>
          <w:sz w:val="24"/>
          <w:szCs w:val="24"/>
        </w:rPr>
        <w:t>E</w:t>
      </w:r>
      <w:r w:rsidRPr="00534287">
        <w:rPr>
          <w:b/>
          <w:sz w:val="24"/>
          <w:szCs w:val="24"/>
        </w:rPr>
        <w:t>xperience</w:t>
      </w:r>
    </w:p>
    <w:p w14:paraId="6216BBFA" w14:textId="3B4549FA" w:rsidR="005C1C0F" w:rsidRPr="005C1C0F" w:rsidRDefault="00B33644" w:rsidP="00452CB6">
      <w:pPr>
        <w:pStyle w:val="a7"/>
        <w:numPr>
          <w:ilvl w:val="0"/>
          <w:numId w:val="4"/>
        </w:numPr>
        <w:jc w:val="both"/>
        <w:rPr>
          <w:sz w:val="24"/>
          <w:szCs w:val="24"/>
        </w:rPr>
      </w:pPr>
      <w:r>
        <w:rPr>
          <w:sz w:val="24"/>
          <w:szCs w:val="24"/>
        </w:rPr>
        <w:t>m</w:t>
      </w:r>
      <w:r w:rsidR="005C5B1E" w:rsidRPr="00452CB6">
        <w:rPr>
          <w:sz w:val="24"/>
          <w:szCs w:val="24"/>
        </w:rPr>
        <w:t xml:space="preserve">inimum </w:t>
      </w:r>
      <w:r w:rsidR="004F5CEA">
        <w:rPr>
          <w:sz w:val="24"/>
          <w:szCs w:val="24"/>
        </w:rPr>
        <w:t>7</w:t>
      </w:r>
      <w:r w:rsidR="005C5B1E" w:rsidRPr="00452CB6">
        <w:rPr>
          <w:sz w:val="24"/>
          <w:szCs w:val="24"/>
        </w:rPr>
        <w:t xml:space="preserve"> years of </w:t>
      </w:r>
      <w:r w:rsidR="005C1C0F" w:rsidRPr="00452CB6">
        <w:rPr>
          <w:sz w:val="24"/>
          <w:szCs w:val="24"/>
        </w:rPr>
        <w:t>general professional experience;</w:t>
      </w:r>
    </w:p>
    <w:p w14:paraId="64A28866" w14:textId="341AB9DF" w:rsidR="00C42F5E" w:rsidRPr="00B618DB" w:rsidRDefault="00B33644" w:rsidP="00452CB6">
      <w:pPr>
        <w:pStyle w:val="a7"/>
        <w:numPr>
          <w:ilvl w:val="0"/>
          <w:numId w:val="4"/>
        </w:numPr>
        <w:jc w:val="both"/>
        <w:rPr>
          <w:sz w:val="24"/>
          <w:szCs w:val="24"/>
        </w:rPr>
      </w:pPr>
      <w:r>
        <w:rPr>
          <w:sz w:val="24"/>
          <w:szCs w:val="24"/>
        </w:rPr>
        <w:t>m</w:t>
      </w:r>
      <w:r w:rsidR="00153BFC" w:rsidRPr="00452CB6">
        <w:rPr>
          <w:sz w:val="24"/>
          <w:szCs w:val="24"/>
        </w:rPr>
        <w:t xml:space="preserve">inimum 5 years of experience in </w:t>
      </w:r>
      <w:r w:rsidR="008523E9">
        <w:rPr>
          <w:sz w:val="24"/>
          <w:szCs w:val="24"/>
        </w:rPr>
        <w:t xml:space="preserve">the </w:t>
      </w:r>
      <w:r w:rsidR="00153BFC" w:rsidRPr="00452CB6">
        <w:rPr>
          <w:sz w:val="24"/>
          <w:szCs w:val="24"/>
        </w:rPr>
        <w:t>energy sector</w:t>
      </w:r>
      <w:r>
        <w:rPr>
          <w:sz w:val="24"/>
          <w:szCs w:val="24"/>
        </w:rPr>
        <w:t xml:space="preserve"> </w:t>
      </w:r>
      <w:r w:rsidRPr="00B618DB">
        <w:rPr>
          <w:sz w:val="24"/>
          <w:szCs w:val="24"/>
        </w:rPr>
        <w:t xml:space="preserve">(climate and environmental policy, energy efficiency, </w:t>
      </w:r>
      <w:r w:rsidR="00A41FC8">
        <w:rPr>
          <w:sz w:val="24"/>
          <w:szCs w:val="24"/>
        </w:rPr>
        <w:t xml:space="preserve">energy markets, </w:t>
      </w:r>
      <w:r w:rsidRPr="00B618DB">
        <w:rPr>
          <w:sz w:val="24"/>
          <w:szCs w:val="24"/>
        </w:rPr>
        <w:t>Ukraine-EU integration policy, public policy, etc.)</w:t>
      </w:r>
      <w:r w:rsidR="005C6D68">
        <w:rPr>
          <w:sz w:val="24"/>
          <w:szCs w:val="24"/>
        </w:rPr>
        <w:t xml:space="preserve">, </w:t>
      </w:r>
      <w:r w:rsidR="00153BFC" w:rsidRPr="00452CB6">
        <w:rPr>
          <w:sz w:val="24"/>
          <w:szCs w:val="24"/>
        </w:rPr>
        <w:t xml:space="preserve">in </w:t>
      </w:r>
      <w:r w:rsidR="00153BFC" w:rsidRPr="00B33644">
        <w:rPr>
          <w:sz w:val="24"/>
          <w:szCs w:val="24"/>
        </w:rPr>
        <w:t>public</w:t>
      </w:r>
      <w:r w:rsidR="005C6D68">
        <w:rPr>
          <w:sz w:val="24"/>
          <w:szCs w:val="24"/>
          <w:lang w:val="en-US"/>
        </w:rPr>
        <w:t xml:space="preserve"> or </w:t>
      </w:r>
      <w:r w:rsidR="00153BFC" w:rsidRPr="00B618DB">
        <w:rPr>
          <w:sz w:val="24"/>
          <w:szCs w:val="24"/>
        </w:rPr>
        <w:t xml:space="preserve">business administration, </w:t>
      </w:r>
      <w:r w:rsidR="005C6D68">
        <w:rPr>
          <w:sz w:val="24"/>
          <w:szCs w:val="24"/>
        </w:rPr>
        <w:t xml:space="preserve">investment or </w:t>
      </w:r>
      <w:r w:rsidR="00153BFC" w:rsidRPr="00B618DB">
        <w:rPr>
          <w:sz w:val="24"/>
          <w:szCs w:val="24"/>
        </w:rPr>
        <w:t>consulting</w:t>
      </w:r>
      <w:r w:rsidRPr="00B618DB">
        <w:rPr>
          <w:sz w:val="24"/>
          <w:szCs w:val="24"/>
        </w:rPr>
        <w:t>.</w:t>
      </w:r>
    </w:p>
    <w:p w14:paraId="00A23C9E" w14:textId="2D9C7A82" w:rsidR="00153BFC" w:rsidRPr="00D51ECE" w:rsidRDefault="00534287" w:rsidP="00D51ECE">
      <w:pPr>
        <w:jc w:val="both"/>
        <w:rPr>
          <w:b/>
          <w:sz w:val="24"/>
          <w:szCs w:val="24"/>
        </w:rPr>
      </w:pPr>
      <w:r w:rsidRPr="00534287">
        <w:rPr>
          <w:b/>
          <w:sz w:val="24"/>
          <w:szCs w:val="24"/>
        </w:rPr>
        <w:t xml:space="preserve">5.3 </w:t>
      </w:r>
      <w:r w:rsidR="00325E4A">
        <w:rPr>
          <w:b/>
          <w:sz w:val="24"/>
          <w:szCs w:val="24"/>
        </w:rPr>
        <w:t>Other competencies:</w:t>
      </w:r>
    </w:p>
    <w:p w14:paraId="17C4B118" w14:textId="6FE4DAAB" w:rsidR="00534287" w:rsidRDefault="00B33644" w:rsidP="00452CB6">
      <w:pPr>
        <w:pStyle w:val="a7"/>
        <w:numPr>
          <w:ilvl w:val="0"/>
          <w:numId w:val="4"/>
        </w:numPr>
        <w:jc w:val="both"/>
        <w:rPr>
          <w:sz w:val="24"/>
          <w:szCs w:val="24"/>
        </w:rPr>
      </w:pPr>
      <w:r>
        <w:rPr>
          <w:sz w:val="24"/>
          <w:szCs w:val="24"/>
        </w:rPr>
        <w:t>f</w:t>
      </w:r>
      <w:r w:rsidR="00153BFC" w:rsidRPr="00153BFC">
        <w:rPr>
          <w:sz w:val="24"/>
          <w:szCs w:val="24"/>
        </w:rPr>
        <w:t xml:space="preserve">amiliarity with the reform agenda in Ukraine </w:t>
      </w:r>
      <w:r w:rsidR="00452CB6">
        <w:rPr>
          <w:sz w:val="24"/>
          <w:szCs w:val="24"/>
        </w:rPr>
        <w:t xml:space="preserve">and </w:t>
      </w:r>
      <w:r w:rsidR="008523E9">
        <w:rPr>
          <w:sz w:val="24"/>
          <w:szCs w:val="24"/>
        </w:rPr>
        <w:t>understanding</w:t>
      </w:r>
      <w:r w:rsidR="002E1C3A">
        <w:rPr>
          <w:sz w:val="24"/>
          <w:szCs w:val="24"/>
        </w:rPr>
        <w:t xml:space="preserve"> </w:t>
      </w:r>
      <w:r w:rsidR="00153BFC" w:rsidRPr="00153BFC">
        <w:rPr>
          <w:sz w:val="24"/>
          <w:szCs w:val="24"/>
        </w:rPr>
        <w:t xml:space="preserve">of </w:t>
      </w:r>
      <w:r w:rsidR="002E1C3A">
        <w:rPr>
          <w:sz w:val="24"/>
          <w:szCs w:val="24"/>
        </w:rPr>
        <w:t xml:space="preserve">the </w:t>
      </w:r>
      <w:r w:rsidR="00153BFC" w:rsidRPr="00153BFC">
        <w:rPr>
          <w:sz w:val="24"/>
          <w:szCs w:val="24"/>
        </w:rPr>
        <w:t>policy formulation process is an asset;</w:t>
      </w:r>
    </w:p>
    <w:p w14:paraId="1121E4D2" w14:textId="74332C7B" w:rsidR="005165A0" w:rsidRPr="00153BFC" w:rsidRDefault="005165A0" w:rsidP="00452CB6">
      <w:pPr>
        <w:pStyle w:val="a7"/>
        <w:numPr>
          <w:ilvl w:val="0"/>
          <w:numId w:val="4"/>
        </w:numPr>
        <w:jc w:val="both"/>
        <w:rPr>
          <w:sz w:val="24"/>
          <w:szCs w:val="24"/>
        </w:rPr>
      </w:pPr>
      <w:r>
        <w:rPr>
          <w:sz w:val="24"/>
          <w:szCs w:val="24"/>
        </w:rPr>
        <w:t>experience in project management and monitoring</w:t>
      </w:r>
      <w:r w:rsidR="00855D40">
        <w:rPr>
          <w:sz w:val="24"/>
          <w:szCs w:val="24"/>
        </w:rPr>
        <w:t>;</w:t>
      </w:r>
    </w:p>
    <w:p w14:paraId="52B0796D" w14:textId="258339F1" w:rsidR="00153BFC" w:rsidRDefault="00B33644" w:rsidP="00452CB6">
      <w:pPr>
        <w:pStyle w:val="a7"/>
        <w:numPr>
          <w:ilvl w:val="0"/>
          <w:numId w:val="4"/>
        </w:numPr>
        <w:jc w:val="both"/>
        <w:rPr>
          <w:sz w:val="24"/>
          <w:szCs w:val="24"/>
        </w:rPr>
      </w:pPr>
      <w:r>
        <w:rPr>
          <w:sz w:val="24"/>
          <w:szCs w:val="24"/>
        </w:rPr>
        <w:t>e</w:t>
      </w:r>
      <w:r w:rsidR="00153BFC" w:rsidRPr="00153BFC">
        <w:rPr>
          <w:sz w:val="24"/>
          <w:szCs w:val="24"/>
        </w:rPr>
        <w:t xml:space="preserve">xperience </w:t>
      </w:r>
      <w:r w:rsidR="00153BFC">
        <w:rPr>
          <w:sz w:val="24"/>
          <w:szCs w:val="24"/>
        </w:rPr>
        <w:t xml:space="preserve">in cooperation </w:t>
      </w:r>
      <w:r w:rsidR="00153BFC" w:rsidRPr="00153BFC">
        <w:rPr>
          <w:sz w:val="24"/>
          <w:szCs w:val="24"/>
        </w:rPr>
        <w:t xml:space="preserve">with </w:t>
      </w:r>
      <w:r w:rsidR="00153BFC">
        <w:rPr>
          <w:sz w:val="24"/>
          <w:szCs w:val="24"/>
        </w:rPr>
        <w:t xml:space="preserve">the </w:t>
      </w:r>
      <w:r w:rsidR="00153BFC" w:rsidRPr="00153BFC">
        <w:rPr>
          <w:sz w:val="24"/>
          <w:szCs w:val="24"/>
        </w:rPr>
        <w:t>government is an asset</w:t>
      </w:r>
      <w:r w:rsidR="00153BFC">
        <w:rPr>
          <w:sz w:val="24"/>
          <w:szCs w:val="24"/>
        </w:rPr>
        <w:t>;</w:t>
      </w:r>
    </w:p>
    <w:p w14:paraId="68436EBA" w14:textId="5F6D0EC4" w:rsidR="00B33644" w:rsidRPr="00B33644" w:rsidRDefault="00B33644" w:rsidP="00B33644">
      <w:pPr>
        <w:pStyle w:val="a7"/>
        <w:numPr>
          <w:ilvl w:val="0"/>
          <w:numId w:val="4"/>
        </w:numPr>
        <w:jc w:val="both"/>
        <w:rPr>
          <w:sz w:val="24"/>
          <w:szCs w:val="24"/>
        </w:rPr>
      </w:pPr>
      <w:r>
        <w:rPr>
          <w:rFonts w:cstheme="minorHAnsi"/>
          <w:sz w:val="24"/>
          <w:szCs w:val="24"/>
        </w:rPr>
        <w:t>e</w:t>
      </w:r>
      <w:r w:rsidRPr="0031703B">
        <w:rPr>
          <w:rFonts w:cstheme="minorHAnsi"/>
          <w:sz w:val="24"/>
          <w:szCs w:val="24"/>
        </w:rPr>
        <w:t>xperience in international companies</w:t>
      </w:r>
      <w:r>
        <w:rPr>
          <w:rFonts w:cstheme="minorHAnsi"/>
          <w:sz w:val="24"/>
          <w:szCs w:val="24"/>
        </w:rPr>
        <w:t>, organizations or institutions i</w:t>
      </w:r>
      <w:r w:rsidR="00855D40">
        <w:rPr>
          <w:rFonts w:cstheme="minorHAnsi"/>
          <w:sz w:val="24"/>
          <w:szCs w:val="24"/>
        </w:rPr>
        <w:t>s</w:t>
      </w:r>
      <w:r>
        <w:rPr>
          <w:rFonts w:cstheme="minorHAnsi"/>
          <w:sz w:val="24"/>
          <w:szCs w:val="24"/>
        </w:rPr>
        <w:t xml:space="preserve"> an asset;</w:t>
      </w:r>
    </w:p>
    <w:p w14:paraId="5B8D41AB" w14:textId="22D2A028" w:rsidR="00C42F5E" w:rsidRDefault="00B33644" w:rsidP="00452CB6">
      <w:pPr>
        <w:pStyle w:val="a7"/>
        <w:numPr>
          <w:ilvl w:val="0"/>
          <w:numId w:val="4"/>
        </w:numPr>
        <w:jc w:val="both"/>
        <w:rPr>
          <w:sz w:val="24"/>
          <w:szCs w:val="24"/>
        </w:rPr>
      </w:pPr>
      <w:r>
        <w:rPr>
          <w:sz w:val="24"/>
          <w:szCs w:val="24"/>
        </w:rPr>
        <w:t>e</w:t>
      </w:r>
      <w:r w:rsidR="00A41716" w:rsidRPr="00534287">
        <w:rPr>
          <w:sz w:val="24"/>
          <w:szCs w:val="24"/>
        </w:rPr>
        <w:t xml:space="preserve">xperience in leading </w:t>
      </w:r>
      <w:r w:rsidR="00A6029C">
        <w:rPr>
          <w:sz w:val="24"/>
          <w:szCs w:val="24"/>
        </w:rPr>
        <w:t xml:space="preserve">team of experts in international programmes/organizations </w:t>
      </w:r>
      <w:r w:rsidR="00A41716" w:rsidRPr="00534287">
        <w:rPr>
          <w:sz w:val="24"/>
          <w:szCs w:val="24"/>
        </w:rPr>
        <w:t>is an asset</w:t>
      </w:r>
      <w:r w:rsidR="00D51ECE">
        <w:rPr>
          <w:sz w:val="24"/>
          <w:szCs w:val="24"/>
        </w:rPr>
        <w:t>;</w:t>
      </w:r>
    </w:p>
    <w:p w14:paraId="7EB17610" w14:textId="4E3D329D" w:rsidR="00A41716" w:rsidRPr="00D51ECE" w:rsidRDefault="00B33644" w:rsidP="00D51ECE">
      <w:pPr>
        <w:pStyle w:val="a7"/>
        <w:numPr>
          <w:ilvl w:val="0"/>
          <w:numId w:val="4"/>
        </w:numPr>
        <w:jc w:val="both"/>
        <w:rPr>
          <w:sz w:val="24"/>
          <w:szCs w:val="24"/>
        </w:rPr>
      </w:pPr>
      <w:r>
        <w:rPr>
          <w:sz w:val="24"/>
          <w:szCs w:val="24"/>
        </w:rPr>
        <w:t>i</w:t>
      </w:r>
      <w:r w:rsidR="00C42F5E" w:rsidRPr="00534287">
        <w:rPr>
          <w:sz w:val="24"/>
          <w:szCs w:val="24"/>
        </w:rPr>
        <w:t>mpeccable ethical standards</w:t>
      </w:r>
      <w:r w:rsidR="00D51ECE">
        <w:rPr>
          <w:sz w:val="24"/>
          <w:szCs w:val="24"/>
        </w:rPr>
        <w:t>.</w:t>
      </w:r>
    </w:p>
    <w:p w14:paraId="71721D34" w14:textId="18C83CD7" w:rsidR="00300487" w:rsidRPr="00534287" w:rsidRDefault="00D51ECE" w:rsidP="00534287">
      <w:pPr>
        <w:jc w:val="both"/>
        <w:rPr>
          <w:b/>
          <w:sz w:val="24"/>
          <w:szCs w:val="24"/>
        </w:rPr>
      </w:pPr>
      <w:r>
        <w:rPr>
          <w:b/>
          <w:bCs/>
          <w:sz w:val="24"/>
          <w:szCs w:val="24"/>
        </w:rPr>
        <w:t>6</w:t>
      </w:r>
      <w:r w:rsidR="00534287" w:rsidRPr="00534287">
        <w:rPr>
          <w:b/>
          <w:sz w:val="24"/>
          <w:szCs w:val="24"/>
        </w:rPr>
        <w:t>. Funding Source</w:t>
      </w:r>
    </w:p>
    <w:p w14:paraId="3BC5939C" w14:textId="434C06AC" w:rsidR="00452CB6" w:rsidRPr="00452CB6" w:rsidRDefault="00452CB6" w:rsidP="00452CB6">
      <w:pPr>
        <w:jc w:val="both"/>
        <w:rPr>
          <w:sz w:val="24"/>
          <w:szCs w:val="24"/>
        </w:rPr>
      </w:pPr>
      <w:r w:rsidRPr="00452CB6">
        <w:rPr>
          <w:sz w:val="24"/>
          <w:szCs w:val="24"/>
        </w:rPr>
        <w:t xml:space="preserve">The funding source of this assignment is the EBRD Ukraine Stabilisation and Sustainable Growth Multi-Donor Account (MDA). Contributors to the MDA are </w:t>
      </w:r>
      <w:r w:rsidR="00773778">
        <w:rPr>
          <w:sz w:val="24"/>
          <w:szCs w:val="24"/>
        </w:rPr>
        <w:t xml:space="preserve">Austria, </w:t>
      </w:r>
      <w:r w:rsidRPr="00452CB6">
        <w:rPr>
          <w:sz w:val="24"/>
          <w:szCs w:val="24"/>
        </w:rPr>
        <w:t>Denmark, Finland, France, Germany, Italy, Japan, the Netherlands, Norway, Poland, Sweden, Switzerland, the United Kingdom, the United States and the European Union.</w:t>
      </w:r>
    </w:p>
    <w:p w14:paraId="65DD2B9E" w14:textId="3B1DEB29" w:rsidR="00153BFC" w:rsidRPr="00534287" w:rsidRDefault="00534287" w:rsidP="00534287">
      <w:pPr>
        <w:jc w:val="both"/>
        <w:rPr>
          <w:sz w:val="24"/>
          <w:szCs w:val="24"/>
        </w:rPr>
      </w:pPr>
      <w:r w:rsidRPr="00534287">
        <w:rPr>
          <w:sz w:val="24"/>
          <w:szCs w:val="24"/>
        </w:rPr>
        <w:t>Please note, selection and contracting will be subject to the availability of funding.</w:t>
      </w:r>
    </w:p>
    <w:p w14:paraId="4677C38D" w14:textId="02E75496" w:rsidR="00534287" w:rsidRPr="00534287" w:rsidRDefault="00D43566" w:rsidP="00534287">
      <w:pPr>
        <w:jc w:val="both"/>
        <w:rPr>
          <w:b/>
          <w:sz w:val="24"/>
          <w:szCs w:val="24"/>
        </w:rPr>
      </w:pPr>
      <w:r>
        <w:rPr>
          <w:b/>
          <w:bCs/>
          <w:sz w:val="24"/>
          <w:szCs w:val="24"/>
        </w:rPr>
        <w:t>7</w:t>
      </w:r>
      <w:r w:rsidR="00534287" w:rsidRPr="00534287">
        <w:rPr>
          <w:b/>
          <w:bCs/>
          <w:sz w:val="24"/>
          <w:szCs w:val="24"/>
        </w:rPr>
        <w:t xml:space="preserve">. Submissions </w:t>
      </w:r>
    </w:p>
    <w:p w14:paraId="6C69C146" w14:textId="091D9316" w:rsidR="00153BFC" w:rsidRPr="00534287" w:rsidRDefault="00153BFC" w:rsidP="00153BFC">
      <w:pPr>
        <w:jc w:val="both"/>
        <w:rPr>
          <w:sz w:val="24"/>
          <w:szCs w:val="24"/>
        </w:rPr>
      </w:pPr>
      <w:bookmarkStart w:id="0" w:name="_Hlk31106444"/>
      <w:r w:rsidRPr="00534287">
        <w:rPr>
          <w:sz w:val="24"/>
          <w:szCs w:val="24"/>
        </w:rPr>
        <w:t xml:space="preserve">Submissions must be prepared in English only and delivered electronically </w:t>
      </w:r>
      <w:r w:rsidR="00CE522A" w:rsidRPr="00CE522A">
        <w:rPr>
          <w:b/>
          <w:bCs/>
          <w:sz w:val="24"/>
          <w:szCs w:val="24"/>
        </w:rPr>
        <w:t xml:space="preserve">23:59 (Kyiv time) on </w:t>
      </w:r>
      <w:r w:rsidR="00CE522A">
        <w:rPr>
          <w:b/>
          <w:bCs/>
          <w:sz w:val="24"/>
          <w:szCs w:val="24"/>
          <w:lang w:val="en-US"/>
        </w:rPr>
        <w:t>April 1st</w:t>
      </w:r>
      <w:r w:rsidR="00CE522A" w:rsidRPr="00CE522A">
        <w:rPr>
          <w:b/>
          <w:bCs/>
          <w:sz w:val="24"/>
          <w:szCs w:val="24"/>
        </w:rPr>
        <w:t>, 2024</w:t>
      </w:r>
      <w:r w:rsidR="00CE522A">
        <w:rPr>
          <w:rFonts w:eastAsia="Calibri" w:cstheme="minorHAnsi"/>
          <w:b/>
          <w:bCs/>
        </w:rPr>
        <w:t xml:space="preserve"> </w:t>
      </w:r>
      <w:r w:rsidRPr="00534287">
        <w:rPr>
          <w:sz w:val="24"/>
          <w:szCs w:val="24"/>
        </w:rPr>
        <w:t>to the following address:</w:t>
      </w:r>
      <w:r w:rsidR="008523E9" w:rsidRPr="008523E9">
        <w:rPr>
          <w:b/>
          <w:bCs/>
        </w:rPr>
        <w:t xml:space="preserve"> </w:t>
      </w:r>
      <w:r w:rsidR="008523E9" w:rsidRPr="008523E9">
        <w:rPr>
          <w:b/>
          <w:bCs/>
          <w:sz w:val="24"/>
          <w:szCs w:val="24"/>
        </w:rPr>
        <w:t>rst.mev@gmail.com</w:t>
      </w:r>
    </w:p>
    <w:p w14:paraId="3028990F" w14:textId="77777777" w:rsidR="00153BFC" w:rsidRPr="00534287" w:rsidRDefault="00153BFC" w:rsidP="00153BFC">
      <w:pPr>
        <w:jc w:val="both"/>
        <w:rPr>
          <w:sz w:val="24"/>
          <w:szCs w:val="24"/>
        </w:rPr>
      </w:pPr>
      <w:r w:rsidRPr="00534287">
        <w:rPr>
          <w:sz w:val="24"/>
          <w:szCs w:val="24"/>
        </w:rPr>
        <w:t xml:space="preserve">All submissions must include a completed Application Form, NDA Form, the candidate’s Curriculum Vitae and Reference Letter (original in English, or Ukrainian with English translation) </w:t>
      </w:r>
      <w:r w:rsidRPr="00534287">
        <w:rPr>
          <w:sz w:val="24"/>
          <w:szCs w:val="24"/>
        </w:rPr>
        <w:lastRenderedPageBreak/>
        <w:t xml:space="preserve">together with the contact details </w:t>
      </w:r>
      <w:r>
        <w:rPr>
          <w:sz w:val="24"/>
          <w:szCs w:val="24"/>
        </w:rPr>
        <w:t>of</w:t>
      </w:r>
      <w:r w:rsidRPr="00534287">
        <w:rPr>
          <w:sz w:val="24"/>
          <w:szCs w:val="24"/>
        </w:rPr>
        <w:t xml:space="preserve"> two further referees</w:t>
      </w:r>
      <w:r>
        <w:rPr>
          <w:sz w:val="24"/>
          <w:szCs w:val="24"/>
        </w:rPr>
        <w:t xml:space="preserve"> </w:t>
      </w:r>
      <w:r w:rsidRPr="00534287">
        <w:rPr>
          <w:sz w:val="24"/>
          <w:szCs w:val="24"/>
        </w:rPr>
        <w:t>who, if contacted, can attest to the professional background of the candidate.</w:t>
      </w:r>
    </w:p>
    <w:p w14:paraId="2084AD64" w14:textId="77777777" w:rsidR="00153BFC" w:rsidRDefault="00153BFC" w:rsidP="00153BFC">
      <w:pPr>
        <w:jc w:val="both"/>
        <w:rPr>
          <w:sz w:val="24"/>
          <w:szCs w:val="24"/>
        </w:rPr>
      </w:pPr>
      <w:r w:rsidRPr="00534287">
        <w:rPr>
          <w:sz w:val="24"/>
          <w:szCs w:val="24"/>
        </w:rPr>
        <w:t>Only applications which have been submitted using the correct template and are fully completed will be considered.</w:t>
      </w:r>
    </w:p>
    <w:p w14:paraId="35331369" w14:textId="77777777" w:rsidR="00CE522A" w:rsidRPr="00866385" w:rsidRDefault="00CE522A" w:rsidP="00CE522A">
      <w:pPr>
        <w:jc w:val="both"/>
        <w:rPr>
          <w:rFonts w:eastAsia="Calibri" w:cstheme="minorHAnsi"/>
          <w:b/>
          <w:bCs/>
        </w:rPr>
      </w:pPr>
      <w:bookmarkStart w:id="1" w:name="_Hlk159579626"/>
      <w:r>
        <w:rPr>
          <w:rFonts w:eastAsia="Calibri" w:cstheme="minorHAnsi"/>
          <w:b/>
          <w:bCs/>
        </w:rPr>
        <w:t>T</w:t>
      </w:r>
      <w:r w:rsidRPr="00866385">
        <w:rPr>
          <w:rFonts w:eastAsia="Calibri" w:cstheme="minorHAnsi"/>
          <w:b/>
          <w:bCs/>
        </w:rPr>
        <w:t xml:space="preserve">he Application Form and NDA Form </w:t>
      </w:r>
      <w:r>
        <w:rPr>
          <w:rFonts w:eastAsia="Calibri" w:cstheme="minorHAnsi"/>
          <w:b/>
          <w:bCs/>
        </w:rPr>
        <w:t xml:space="preserve">can be found </w:t>
      </w:r>
      <w:r w:rsidRPr="00866385">
        <w:rPr>
          <w:rFonts w:eastAsia="Calibri" w:cstheme="minorHAnsi"/>
          <w:b/>
          <w:bCs/>
        </w:rPr>
        <w:t>on the publication resource.</w:t>
      </w:r>
    </w:p>
    <w:bookmarkEnd w:id="1"/>
    <w:p w14:paraId="037C7306" w14:textId="77777777" w:rsidR="00CE522A" w:rsidRPr="00866385" w:rsidRDefault="00CE522A" w:rsidP="00CE522A">
      <w:pPr>
        <w:jc w:val="both"/>
        <w:rPr>
          <w:rFonts w:eastAsia="Calibri" w:cstheme="minorHAnsi"/>
          <w:b/>
          <w:bCs/>
        </w:rPr>
      </w:pPr>
    </w:p>
    <w:p w14:paraId="769C0319" w14:textId="03BE8281" w:rsidR="00B41E63" w:rsidRPr="00534287" w:rsidRDefault="00534287" w:rsidP="00534287">
      <w:pPr>
        <w:jc w:val="both"/>
        <w:rPr>
          <w:b/>
          <w:sz w:val="24"/>
          <w:szCs w:val="24"/>
        </w:rPr>
      </w:pPr>
      <w:r w:rsidRPr="00534287">
        <w:rPr>
          <w:b/>
          <w:sz w:val="24"/>
          <w:szCs w:val="24"/>
        </w:rPr>
        <w:t xml:space="preserve">Important notice: only Ukrainian nationals are eligible to apply; civil servants are not eligible </w:t>
      </w:r>
      <w:r w:rsidR="00EE610C">
        <w:rPr>
          <w:b/>
          <w:sz w:val="24"/>
          <w:szCs w:val="24"/>
        </w:rPr>
        <w:t>to apply</w:t>
      </w:r>
      <w:r w:rsidRPr="00534287">
        <w:rPr>
          <w:b/>
          <w:sz w:val="24"/>
          <w:szCs w:val="24"/>
        </w:rPr>
        <w:t xml:space="preserve"> unless 6 months ha</w:t>
      </w:r>
      <w:r w:rsidR="00EE610C">
        <w:rPr>
          <w:b/>
          <w:sz w:val="24"/>
          <w:szCs w:val="24"/>
        </w:rPr>
        <w:t>ve</w:t>
      </w:r>
      <w:r w:rsidRPr="00534287">
        <w:rPr>
          <w:b/>
          <w:sz w:val="24"/>
          <w:szCs w:val="24"/>
        </w:rPr>
        <w:t xml:space="preserve"> elapsed since </w:t>
      </w:r>
      <w:r w:rsidR="00EE610C">
        <w:rPr>
          <w:b/>
          <w:sz w:val="24"/>
          <w:szCs w:val="24"/>
        </w:rPr>
        <w:t xml:space="preserve">they </w:t>
      </w:r>
      <w:r w:rsidRPr="00534287">
        <w:rPr>
          <w:b/>
          <w:sz w:val="24"/>
          <w:szCs w:val="24"/>
        </w:rPr>
        <w:t xml:space="preserve">left such employment. </w:t>
      </w:r>
      <w:bookmarkEnd w:id="0"/>
    </w:p>
    <w:p w14:paraId="460DCFBE" w14:textId="6A3880B1" w:rsidR="00300487" w:rsidRPr="00534287" w:rsidRDefault="00D43566" w:rsidP="00534287">
      <w:pPr>
        <w:jc w:val="both"/>
        <w:rPr>
          <w:b/>
          <w:sz w:val="24"/>
          <w:szCs w:val="24"/>
        </w:rPr>
      </w:pPr>
      <w:r>
        <w:rPr>
          <w:b/>
          <w:bCs/>
          <w:sz w:val="24"/>
          <w:szCs w:val="24"/>
        </w:rPr>
        <w:t>8</w:t>
      </w:r>
      <w:r w:rsidR="00534287" w:rsidRPr="00534287">
        <w:rPr>
          <w:b/>
          <w:bCs/>
          <w:sz w:val="24"/>
          <w:szCs w:val="24"/>
        </w:rPr>
        <w:t xml:space="preserve">. </w:t>
      </w:r>
      <w:r w:rsidR="00534287" w:rsidRPr="00534287">
        <w:rPr>
          <w:b/>
          <w:sz w:val="24"/>
          <w:szCs w:val="24"/>
        </w:rPr>
        <w:t xml:space="preserve">Selection Procedure </w:t>
      </w:r>
    </w:p>
    <w:p w14:paraId="30170141" w14:textId="20F1583D" w:rsidR="00BC0AAF" w:rsidRPr="00534287" w:rsidRDefault="00534287" w:rsidP="00534287">
      <w:pPr>
        <w:jc w:val="both"/>
        <w:rPr>
          <w:sz w:val="24"/>
          <w:szCs w:val="24"/>
        </w:rPr>
      </w:pPr>
      <w:r w:rsidRPr="00534287">
        <w:rPr>
          <w:sz w:val="24"/>
          <w:szCs w:val="24"/>
        </w:rPr>
        <w:t xml:space="preserve">Following the evaluation of all applications received, selected candidates may be invited to </w:t>
      </w:r>
      <w:r w:rsidR="00153BFC">
        <w:rPr>
          <w:sz w:val="24"/>
          <w:szCs w:val="24"/>
        </w:rPr>
        <w:t>the</w:t>
      </w:r>
      <w:r w:rsidR="00EE610C" w:rsidRPr="00534287">
        <w:rPr>
          <w:sz w:val="24"/>
          <w:szCs w:val="24"/>
        </w:rPr>
        <w:t xml:space="preserve"> </w:t>
      </w:r>
      <w:r w:rsidRPr="00534287">
        <w:rPr>
          <w:sz w:val="24"/>
          <w:szCs w:val="24"/>
        </w:rPr>
        <w:t>test. Only shortlisted candidates will be invited to the interview.</w:t>
      </w:r>
    </w:p>
    <w:sectPr w:rsidR="00BC0AAF" w:rsidRPr="0053428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6B64" w14:textId="77777777" w:rsidR="004E0D10" w:rsidRDefault="004E0D10" w:rsidP="00534287">
      <w:pPr>
        <w:spacing w:after="0" w:line="240" w:lineRule="auto"/>
      </w:pPr>
      <w:r>
        <w:separator/>
      </w:r>
    </w:p>
  </w:endnote>
  <w:endnote w:type="continuationSeparator" w:id="0">
    <w:p w14:paraId="61655403" w14:textId="77777777" w:rsidR="004E0D10" w:rsidRDefault="004E0D10" w:rsidP="0053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8B" w14:textId="1B822A97" w:rsidR="00534287" w:rsidRPr="00ED43BA" w:rsidRDefault="00ED43BA" w:rsidP="00ED43BA">
    <w:pPr>
      <w:pStyle w:val="a5"/>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bjFooterEvenPageDocProperty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0DB0" w14:textId="67073DF4" w:rsidR="00534287" w:rsidRPr="00ED43BA" w:rsidRDefault="00ED43BA" w:rsidP="00ED43BA">
    <w:pPr>
      <w:pStyle w:val="a5"/>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bjFooterBothDocProperty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BB59" w14:textId="1726C691" w:rsidR="00534287" w:rsidRPr="00ED43BA" w:rsidRDefault="00ED43BA" w:rsidP="00ED43BA">
    <w:pPr>
      <w:pStyle w:val="a5"/>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bjFooterFirstPageDocProperty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4DB3" w14:textId="77777777" w:rsidR="004E0D10" w:rsidRDefault="004E0D10" w:rsidP="00534287">
      <w:pPr>
        <w:spacing w:after="0" w:line="240" w:lineRule="auto"/>
      </w:pPr>
      <w:r>
        <w:separator/>
      </w:r>
    </w:p>
  </w:footnote>
  <w:footnote w:type="continuationSeparator" w:id="0">
    <w:p w14:paraId="2CE09B8E" w14:textId="77777777" w:rsidR="004E0D10" w:rsidRDefault="004E0D10" w:rsidP="00534287">
      <w:pPr>
        <w:spacing w:after="0" w:line="240" w:lineRule="auto"/>
      </w:pPr>
      <w:r>
        <w:continuationSeparator/>
      </w:r>
    </w:p>
  </w:footnote>
  <w:footnote w:id="1">
    <w:p w14:paraId="4F2745B7" w14:textId="77777777" w:rsidR="00FD7A2E" w:rsidRDefault="00FD7A2E" w:rsidP="00FD7A2E">
      <w:pPr>
        <w:pBdr>
          <w:top w:val="nil"/>
          <w:left w:val="nil"/>
          <w:bottom w:val="nil"/>
          <w:right w:val="nil"/>
          <w:between w:val="nil"/>
        </w:pBdr>
        <w:spacing w:before="120" w:after="120"/>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Ukraine Recovery and Reform Architecture (URA) is a comprehensive technical assistance programme deployed by the European Bank for Reconstruction and Development (EBRD), in partnership with the European Union, to support critical reform processes in Ukraine. URA is financed from the Ukraine Stabilisation and Sustainable Growth Multi-Donor Account (MDA) managed by the EBRD.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88F" w14:textId="6356A16E" w:rsidR="00534287" w:rsidRPr="00ED43BA" w:rsidRDefault="00ED43BA" w:rsidP="00ED43BA">
    <w:pPr>
      <w:pStyle w:val="a3"/>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bjHeaderEvenPageDocProperty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922F" w14:textId="029F45C9" w:rsidR="00534287" w:rsidRPr="00ED43BA" w:rsidRDefault="00ED43BA" w:rsidP="00ED43BA">
    <w:pPr>
      <w:pStyle w:val="a3"/>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bjHeaderBothDocProperty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203E" w14:textId="7511CE39" w:rsidR="00534287" w:rsidRPr="00ED43BA" w:rsidRDefault="00ED43BA" w:rsidP="00ED43BA">
    <w:pPr>
      <w:pStyle w:val="a3"/>
      <w:jc w:val="center"/>
    </w:pPr>
    <w:r>
      <w:rPr>
        <w:rFonts w:ascii="Calibri" w:eastAsia="Calibri" w:hAnsi="Calibri" w:cs="Calibri"/>
        <w:lang w:val="en-US"/>
      </w:rPr>
      <w:fldChar w:fldCharType="begin" w:fldLock="1"/>
    </w:r>
    <w:r>
      <w:rPr>
        <w:rFonts w:ascii="Calibri" w:eastAsia="Calibri" w:hAnsi="Calibri" w:cs="Calibri"/>
        <w:lang w:val="en-US"/>
      </w:rPr>
      <w:instrText xml:space="preserve"> DOCPROPERTY bjHeaderFirstPageDocProperty \* MERGEFORMAT </w:instrText>
    </w:r>
    <w:r>
      <w:rPr>
        <w:rFonts w:ascii="Calibri" w:eastAsia="Calibri" w:hAnsi="Calibri" w:cs="Calibri"/>
        <w:lang w:val="en-US"/>
      </w:rPr>
      <w:fldChar w:fldCharType="separate"/>
    </w:r>
    <w:r w:rsidRPr="005D697B">
      <w:rPr>
        <w:rFonts w:ascii="Arial" w:eastAsia="Calibri" w:hAnsi="Arial" w:cs="Arial"/>
        <w:color w:val="0000FF"/>
        <w:sz w:val="18"/>
        <w:szCs w:val="18"/>
        <w:lang w:val="en-US"/>
      </w:rPr>
      <w:t>OFFICIAL USE</w:t>
    </w:r>
    <w:r>
      <w:rPr>
        <w:rFonts w:ascii="Calibri" w:eastAsia="Calibri" w:hAnsi="Calibri" w:cs="Calibri"/>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AE"/>
    <w:multiLevelType w:val="hybridMultilevel"/>
    <w:tmpl w:val="CE1EF2F6"/>
    <w:lvl w:ilvl="0" w:tplc="C1600D0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BC6A95"/>
    <w:multiLevelType w:val="multilevel"/>
    <w:tmpl w:val="563EEAD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CC6"/>
    <w:multiLevelType w:val="hybridMultilevel"/>
    <w:tmpl w:val="7E261E0C"/>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5E3"/>
    <w:multiLevelType w:val="hybridMultilevel"/>
    <w:tmpl w:val="C6842BA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2113D"/>
    <w:multiLevelType w:val="multilevel"/>
    <w:tmpl w:val="1B78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267B17"/>
    <w:multiLevelType w:val="hybridMultilevel"/>
    <w:tmpl w:val="C2EC70E2"/>
    <w:lvl w:ilvl="0" w:tplc="FB56A4B4">
      <w:start w:val="1"/>
      <w:numFmt w:val="bullet"/>
      <w:lvlText w:val="•"/>
      <w:lvlJc w:val="left"/>
      <w:pPr>
        <w:tabs>
          <w:tab w:val="num" w:pos="720"/>
        </w:tabs>
        <w:ind w:left="720" w:hanging="360"/>
      </w:pPr>
      <w:rPr>
        <w:rFonts w:ascii="Arial" w:hAnsi="Arial" w:hint="default"/>
      </w:rPr>
    </w:lvl>
    <w:lvl w:ilvl="1" w:tplc="01BA8594" w:tentative="1">
      <w:start w:val="1"/>
      <w:numFmt w:val="bullet"/>
      <w:lvlText w:val="•"/>
      <w:lvlJc w:val="left"/>
      <w:pPr>
        <w:tabs>
          <w:tab w:val="num" w:pos="1440"/>
        </w:tabs>
        <w:ind w:left="1440" w:hanging="360"/>
      </w:pPr>
      <w:rPr>
        <w:rFonts w:ascii="Arial" w:hAnsi="Arial" w:hint="default"/>
      </w:rPr>
    </w:lvl>
    <w:lvl w:ilvl="2" w:tplc="0DC47AC0" w:tentative="1">
      <w:start w:val="1"/>
      <w:numFmt w:val="bullet"/>
      <w:lvlText w:val="•"/>
      <w:lvlJc w:val="left"/>
      <w:pPr>
        <w:tabs>
          <w:tab w:val="num" w:pos="2160"/>
        </w:tabs>
        <w:ind w:left="2160" w:hanging="360"/>
      </w:pPr>
      <w:rPr>
        <w:rFonts w:ascii="Arial" w:hAnsi="Arial" w:hint="default"/>
      </w:rPr>
    </w:lvl>
    <w:lvl w:ilvl="3" w:tplc="7896928E" w:tentative="1">
      <w:start w:val="1"/>
      <w:numFmt w:val="bullet"/>
      <w:lvlText w:val="•"/>
      <w:lvlJc w:val="left"/>
      <w:pPr>
        <w:tabs>
          <w:tab w:val="num" w:pos="2880"/>
        </w:tabs>
        <w:ind w:left="2880" w:hanging="360"/>
      </w:pPr>
      <w:rPr>
        <w:rFonts w:ascii="Arial" w:hAnsi="Arial" w:hint="default"/>
      </w:rPr>
    </w:lvl>
    <w:lvl w:ilvl="4" w:tplc="CB2AA7B6" w:tentative="1">
      <w:start w:val="1"/>
      <w:numFmt w:val="bullet"/>
      <w:lvlText w:val="•"/>
      <w:lvlJc w:val="left"/>
      <w:pPr>
        <w:tabs>
          <w:tab w:val="num" w:pos="3600"/>
        </w:tabs>
        <w:ind w:left="3600" w:hanging="360"/>
      </w:pPr>
      <w:rPr>
        <w:rFonts w:ascii="Arial" w:hAnsi="Arial" w:hint="default"/>
      </w:rPr>
    </w:lvl>
    <w:lvl w:ilvl="5" w:tplc="6016B9AA" w:tentative="1">
      <w:start w:val="1"/>
      <w:numFmt w:val="bullet"/>
      <w:lvlText w:val="•"/>
      <w:lvlJc w:val="left"/>
      <w:pPr>
        <w:tabs>
          <w:tab w:val="num" w:pos="4320"/>
        </w:tabs>
        <w:ind w:left="4320" w:hanging="360"/>
      </w:pPr>
      <w:rPr>
        <w:rFonts w:ascii="Arial" w:hAnsi="Arial" w:hint="default"/>
      </w:rPr>
    </w:lvl>
    <w:lvl w:ilvl="6" w:tplc="1E3E8494" w:tentative="1">
      <w:start w:val="1"/>
      <w:numFmt w:val="bullet"/>
      <w:lvlText w:val="•"/>
      <w:lvlJc w:val="left"/>
      <w:pPr>
        <w:tabs>
          <w:tab w:val="num" w:pos="5040"/>
        </w:tabs>
        <w:ind w:left="5040" w:hanging="360"/>
      </w:pPr>
      <w:rPr>
        <w:rFonts w:ascii="Arial" w:hAnsi="Arial" w:hint="default"/>
      </w:rPr>
    </w:lvl>
    <w:lvl w:ilvl="7" w:tplc="9B40731C" w:tentative="1">
      <w:start w:val="1"/>
      <w:numFmt w:val="bullet"/>
      <w:lvlText w:val="•"/>
      <w:lvlJc w:val="left"/>
      <w:pPr>
        <w:tabs>
          <w:tab w:val="num" w:pos="5760"/>
        </w:tabs>
        <w:ind w:left="5760" w:hanging="360"/>
      </w:pPr>
      <w:rPr>
        <w:rFonts w:ascii="Arial" w:hAnsi="Arial" w:hint="default"/>
      </w:rPr>
    </w:lvl>
    <w:lvl w:ilvl="8" w:tplc="81DC4A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0773B"/>
    <w:multiLevelType w:val="multilevel"/>
    <w:tmpl w:val="C09C94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2229F4"/>
    <w:multiLevelType w:val="hybridMultilevel"/>
    <w:tmpl w:val="6BA8A546"/>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82693"/>
    <w:multiLevelType w:val="hybridMultilevel"/>
    <w:tmpl w:val="2B364644"/>
    <w:lvl w:ilvl="0" w:tplc="10CCA418">
      <w:start w:val="1"/>
      <w:numFmt w:val="bullet"/>
      <w:lvlText w:val="•"/>
      <w:lvlJc w:val="left"/>
      <w:pPr>
        <w:tabs>
          <w:tab w:val="num" w:pos="720"/>
        </w:tabs>
        <w:ind w:left="720" w:hanging="360"/>
      </w:pPr>
      <w:rPr>
        <w:rFonts w:ascii="Arial" w:hAnsi="Arial" w:hint="default"/>
      </w:rPr>
    </w:lvl>
    <w:lvl w:ilvl="1" w:tplc="C6BCA6CC" w:tentative="1">
      <w:start w:val="1"/>
      <w:numFmt w:val="bullet"/>
      <w:lvlText w:val="•"/>
      <w:lvlJc w:val="left"/>
      <w:pPr>
        <w:tabs>
          <w:tab w:val="num" w:pos="1440"/>
        </w:tabs>
        <w:ind w:left="1440" w:hanging="360"/>
      </w:pPr>
      <w:rPr>
        <w:rFonts w:ascii="Arial" w:hAnsi="Arial" w:hint="default"/>
      </w:rPr>
    </w:lvl>
    <w:lvl w:ilvl="2" w:tplc="8C5C2252">
      <w:numFmt w:val="bullet"/>
      <w:lvlText w:val="o"/>
      <w:lvlJc w:val="left"/>
      <w:pPr>
        <w:tabs>
          <w:tab w:val="num" w:pos="2160"/>
        </w:tabs>
        <w:ind w:left="2160" w:hanging="360"/>
      </w:pPr>
      <w:rPr>
        <w:rFonts w:ascii="Courier New" w:hAnsi="Courier New" w:hint="default"/>
      </w:rPr>
    </w:lvl>
    <w:lvl w:ilvl="3" w:tplc="E6C6FE36" w:tentative="1">
      <w:start w:val="1"/>
      <w:numFmt w:val="bullet"/>
      <w:lvlText w:val="•"/>
      <w:lvlJc w:val="left"/>
      <w:pPr>
        <w:tabs>
          <w:tab w:val="num" w:pos="2880"/>
        </w:tabs>
        <w:ind w:left="2880" w:hanging="360"/>
      </w:pPr>
      <w:rPr>
        <w:rFonts w:ascii="Arial" w:hAnsi="Arial" w:hint="default"/>
      </w:rPr>
    </w:lvl>
    <w:lvl w:ilvl="4" w:tplc="FD0E8CF0" w:tentative="1">
      <w:start w:val="1"/>
      <w:numFmt w:val="bullet"/>
      <w:lvlText w:val="•"/>
      <w:lvlJc w:val="left"/>
      <w:pPr>
        <w:tabs>
          <w:tab w:val="num" w:pos="3600"/>
        </w:tabs>
        <w:ind w:left="3600" w:hanging="360"/>
      </w:pPr>
      <w:rPr>
        <w:rFonts w:ascii="Arial" w:hAnsi="Arial" w:hint="default"/>
      </w:rPr>
    </w:lvl>
    <w:lvl w:ilvl="5" w:tplc="4B66F9E4" w:tentative="1">
      <w:start w:val="1"/>
      <w:numFmt w:val="bullet"/>
      <w:lvlText w:val="•"/>
      <w:lvlJc w:val="left"/>
      <w:pPr>
        <w:tabs>
          <w:tab w:val="num" w:pos="4320"/>
        </w:tabs>
        <w:ind w:left="4320" w:hanging="360"/>
      </w:pPr>
      <w:rPr>
        <w:rFonts w:ascii="Arial" w:hAnsi="Arial" w:hint="default"/>
      </w:rPr>
    </w:lvl>
    <w:lvl w:ilvl="6" w:tplc="5440AC54" w:tentative="1">
      <w:start w:val="1"/>
      <w:numFmt w:val="bullet"/>
      <w:lvlText w:val="•"/>
      <w:lvlJc w:val="left"/>
      <w:pPr>
        <w:tabs>
          <w:tab w:val="num" w:pos="5040"/>
        </w:tabs>
        <w:ind w:left="5040" w:hanging="360"/>
      </w:pPr>
      <w:rPr>
        <w:rFonts w:ascii="Arial" w:hAnsi="Arial" w:hint="default"/>
      </w:rPr>
    </w:lvl>
    <w:lvl w:ilvl="7" w:tplc="B7B888D6" w:tentative="1">
      <w:start w:val="1"/>
      <w:numFmt w:val="bullet"/>
      <w:lvlText w:val="•"/>
      <w:lvlJc w:val="left"/>
      <w:pPr>
        <w:tabs>
          <w:tab w:val="num" w:pos="5760"/>
        </w:tabs>
        <w:ind w:left="5760" w:hanging="360"/>
      </w:pPr>
      <w:rPr>
        <w:rFonts w:ascii="Arial" w:hAnsi="Arial" w:hint="default"/>
      </w:rPr>
    </w:lvl>
    <w:lvl w:ilvl="8" w:tplc="143ED9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F07EB"/>
    <w:multiLevelType w:val="hybridMultilevel"/>
    <w:tmpl w:val="910887B4"/>
    <w:lvl w:ilvl="0" w:tplc="EA405312">
      <w:start w:val="2014"/>
      <w:numFmt w:val="bullet"/>
      <w:lvlText w:val="-"/>
      <w:lvlJc w:val="left"/>
      <w:pPr>
        <w:ind w:left="720" w:hanging="360"/>
      </w:pPr>
      <w:rPr>
        <w:rFonts w:ascii="Calibri" w:eastAsia="Times New Roman" w:hAnsi="Calibri"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4483CF8"/>
    <w:multiLevelType w:val="multilevel"/>
    <w:tmpl w:val="6856245A"/>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94898">
    <w:abstractNumId w:val="15"/>
  </w:num>
  <w:num w:numId="2" w16cid:durableId="1055742428">
    <w:abstractNumId w:val="2"/>
  </w:num>
  <w:num w:numId="3" w16cid:durableId="1130123939">
    <w:abstractNumId w:val="3"/>
  </w:num>
  <w:num w:numId="4" w16cid:durableId="2105375209">
    <w:abstractNumId w:val="4"/>
  </w:num>
  <w:num w:numId="5" w16cid:durableId="459957212">
    <w:abstractNumId w:val="20"/>
  </w:num>
  <w:num w:numId="6" w16cid:durableId="147863949">
    <w:abstractNumId w:val="9"/>
  </w:num>
  <w:num w:numId="7" w16cid:durableId="1553232610">
    <w:abstractNumId w:val="10"/>
  </w:num>
  <w:num w:numId="8" w16cid:durableId="613561708">
    <w:abstractNumId w:val="6"/>
  </w:num>
  <w:num w:numId="9" w16cid:durableId="763305694">
    <w:abstractNumId w:val="17"/>
  </w:num>
  <w:num w:numId="10" w16cid:durableId="678586184">
    <w:abstractNumId w:val="14"/>
  </w:num>
  <w:num w:numId="11" w16cid:durableId="374352440">
    <w:abstractNumId w:val="12"/>
  </w:num>
  <w:num w:numId="12" w16cid:durableId="633028838">
    <w:abstractNumId w:val="11"/>
  </w:num>
  <w:num w:numId="13" w16cid:durableId="467357963">
    <w:abstractNumId w:val="1"/>
  </w:num>
  <w:num w:numId="14" w16cid:durableId="1148395370">
    <w:abstractNumId w:val="18"/>
  </w:num>
  <w:num w:numId="15" w16cid:durableId="1369449830">
    <w:abstractNumId w:val="13"/>
  </w:num>
  <w:num w:numId="16" w16cid:durableId="1626159329">
    <w:abstractNumId w:val="19"/>
  </w:num>
  <w:num w:numId="17" w16cid:durableId="494885247">
    <w:abstractNumId w:val="16"/>
  </w:num>
  <w:num w:numId="18" w16cid:durableId="401802464">
    <w:abstractNumId w:val="7"/>
  </w:num>
  <w:num w:numId="19" w16cid:durableId="1344282954">
    <w:abstractNumId w:val="8"/>
  </w:num>
  <w:num w:numId="20" w16cid:durableId="1410232963">
    <w:abstractNumId w:val="0"/>
  </w:num>
  <w:num w:numId="21" w16cid:durableId="1223829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87"/>
    <w:rsid w:val="000044CD"/>
    <w:rsid w:val="0000739A"/>
    <w:rsid w:val="00016A53"/>
    <w:rsid w:val="0003025F"/>
    <w:rsid w:val="00060D3F"/>
    <w:rsid w:val="000A5379"/>
    <w:rsid w:val="000B66C6"/>
    <w:rsid w:val="000E543E"/>
    <w:rsid w:val="00136760"/>
    <w:rsid w:val="00153BFC"/>
    <w:rsid w:val="001B7100"/>
    <w:rsid w:val="001C448A"/>
    <w:rsid w:val="001E4B76"/>
    <w:rsid w:val="001F646A"/>
    <w:rsid w:val="00235429"/>
    <w:rsid w:val="00252F45"/>
    <w:rsid w:val="0028385D"/>
    <w:rsid w:val="0029282A"/>
    <w:rsid w:val="002E1C3A"/>
    <w:rsid w:val="002E3F4C"/>
    <w:rsid w:val="002E7DB3"/>
    <w:rsid w:val="002F0F79"/>
    <w:rsid w:val="002F5D1F"/>
    <w:rsid w:val="002F6614"/>
    <w:rsid w:val="00300487"/>
    <w:rsid w:val="0030377E"/>
    <w:rsid w:val="003058F0"/>
    <w:rsid w:val="00325E4A"/>
    <w:rsid w:val="00370C08"/>
    <w:rsid w:val="003A5AF2"/>
    <w:rsid w:val="003B415B"/>
    <w:rsid w:val="003D6083"/>
    <w:rsid w:val="003E3FBB"/>
    <w:rsid w:val="00410AB7"/>
    <w:rsid w:val="004163F8"/>
    <w:rsid w:val="004265FA"/>
    <w:rsid w:val="004266FD"/>
    <w:rsid w:val="0044286D"/>
    <w:rsid w:val="00452CB6"/>
    <w:rsid w:val="00453531"/>
    <w:rsid w:val="00455745"/>
    <w:rsid w:val="00460A07"/>
    <w:rsid w:val="0046381C"/>
    <w:rsid w:val="00482F5C"/>
    <w:rsid w:val="004C2788"/>
    <w:rsid w:val="004D0DFE"/>
    <w:rsid w:val="004E0D10"/>
    <w:rsid w:val="004F5CEA"/>
    <w:rsid w:val="0050680D"/>
    <w:rsid w:val="00515B84"/>
    <w:rsid w:val="005165A0"/>
    <w:rsid w:val="00530495"/>
    <w:rsid w:val="00534287"/>
    <w:rsid w:val="00534AC1"/>
    <w:rsid w:val="0054305E"/>
    <w:rsid w:val="0058302D"/>
    <w:rsid w:val="005A1B0C"/>
    <w:rsid w:val="005B30D7"/>
    <w:rsid w:val="005B5832"/>
    <w:rsid w:val="005C1C0F"/>
    <w:rsid w:val="005C553C"/>
    <w:rsid w:val="005C5B1E"/>
    <w:rsid w:val="005C6D68"/>
    <w:rsid w:val="00663ABB"/>
    <w:rsid w:val="00692AF7"/>
    <w:rsid w:val="00714A71"/>
    <w:rsid w:val="0072329B"/>
    <w:rsid w:val="00733C97"/>
    <w:rsid w:val="00773778"/>
    <w:rsid w:val="007740DF"/>
    <w:rsid w:val="007A4017"/>
    <w:rsid w:val="007C5A73"/>
    <w:rsid w:val="007D291B"/>
    <w:rsid w:val="007E566A"/>
    <w:rsid w:val="00833B7F"/>
    <w:rsid w:val="00840C35"/>
    <w:rsid w:val="008503ED"/>
    <w:rsid w:val="0085232F"/>
    <w:rsid w:val="008523E9"/>
    <w:rsid w:val="00855D40"/>
    <w:rsid w:val="00862925"/>
    <w:rsid w:val="008673EB"/>
    <w:rsid w:val="00867BBD"/>
    <w:rsid w:val="00875170"/>
    <w:rsid w:val="00880CE9"/>
    <w:rsid w:val="0089695E"/>
    <w:rsid w:val="008A1A39"/>
    <w:rsid w:val="008A30CC"/>
    <w:rsid w:val="008C746B"/>
    <w:rsid w:val="008C77AB"/>
    <w:rsid w:val="00934C9B"/>
    <w:rsid w:val="0094206E"/>
    <w:rsid w:val="00972382"/>
    <w:rsid w:val="0097631A"/>
    <w:rsid w:val="00996199"/>
    <w:rsid w:val="009B2C32"/>
    <w:rsid w:val="009C7567"/>
    <w:rsid w:val="00A41716"/>
    <w:rsid w:val="00A41FC8"/>
    <w:rsid w:val="00A6029C"/>
    <w:rsid w:val="00A646C2"/>
    <w:rsid w:val="00A81CA1"/>
    <w:rsid w:val="00A859F6"/>
    <w:rsid w:val="00A9126F"/>
    <w:rsid w:val="00AD0E09"/>
    <w:rsid w:val="00AD5EE1"/>
    <w:rsid w:val="00AF4D28"/>
    <w:rsid w:val="00AF6E11"/>
    <w:rsid w:val="00B1386B"/>
    <w:rsid w:val="00B17372"/>
    <w:rsid w:val="00B33644"/>
    <w:rsid w:val="00B41E63"/>
    <w:rsid w:val="00B522A6"/>
    <w:rsid w:val="00B618DB"/>
    <w:rsid w:val="00B65A37"/>
    <w:rsid w:val="00B74410"/>
    <w:rsid w:val="00B75163"/>
    <w:rsid w:val="00BC0AAF"/>
    <w:rsid w:val="00C327BA"/>
    <w:rsid w:val="00C42F5E"/>
    <w:rsid w:val="00C46949"/>
    <w:rsid w:val="00C4714B"/>
    <w:rsid w:val="00C51377"/>
    <w:rsid w:val="00C53012"/>
    <w:rsid w:val="00C636BE"/>
    <w:rsid w:val="00C63E91"/>
    <w:rsid w:val="00C775FD"/>
    <w:rsid w:val="00C91A55"/>
    <w:rsid w:val="00C97A95"/>
    <w:rsid w:val="00CA4D64"/>
    <w:rsid w:val="00CC3CF1"/>
    <w:rsid w:val="00CC6D58"/>
    <w:rsid w:val="00CE522A"/>
    <w:rsid w:val="00D14326"/>
    <w:rsid w:val="00D27576"/>
    <w:rsid w:val="00D27790"/>
    <w:rsid w:val="00D31325"/>
    <w:rsid w:val="00D3215A"/>
    <w:rsid w:val="00D43566"/>
    <w:rsid w:val="00D51E65"/>
    <w:rsid w:val="00D51ECE"/>
    <w:rsid w:val="00D65EDD"/>
    <w:rsid w:val="00D677E4"/>
    <w:rsid w:val="00D843CD"/>
    <w:rsid w:val="00D87965"/>
    <w:rsid w:val="00D9315A"/>
    <w:rsid w:val="00DC5211"/>
    <w:rsid w:val="00E11154"/>
    <w:rsid w:val="00E12ECE"/>
    <w:rsid w:val="00E204BC"/>
    <w:rsid w:val="00E51697"/>
    <w:rsid w:val="00E8276C"/>
    <w:rsid w:val="00E84D21"/>
    <w:rsid w:val="00E8656B"/>
    <w:rsid w:val="00E9662F"/>
    <w:rsid w:val="00ED43BA"/>
    <w:rsid w:val="00EE1A3F"/>
    <w:rsid w:val="00EE610C"/>
    <w:rsid w:val="00F2023F"/>
    <w:rsid w:val="00F42737"/>
    <w:rsid w:val="00F47474"/>
    <w:rsid w:val="00F5630F"/>
    <w:rsid w:val="00F878D5"/>
    <w:rsid w:val="00F9485C"/>
    <w:rsid w:val="00F97323"/>
    <w:rsid w:val="00FB6834"/>
    <w:rsid w:val="00FD6C3D"/>
    <w:rsid w:val="00FD7A2E"/>
    <w:rsid w:val="00FE47E2"/>
    <w:rsid w:val="00FF3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27784"/>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28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34287"/>
  </w:style>
  <w:style w:type="paragraph" w:styleId="a5">
    <w:name w:val="footer"/>
    <w:basedOn w:val="a"/>
    <w:link w:val="a6"/>
    <w:uiPriority w:val="99"/>
    <w:unhideWhenUsed/>
    <w:rsid w:val="0053428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34287"/>
  </w:style>
  <w:style w:type="paragraph" w:styleId="a7">
    <w:name w:val="List Paragraph"/>
    <w:basedOn w:val="a"/>
    <w:uiPriority w:val="34"/>
    <w:qFormat/>
    <w:rsid w:val="00534287"/>
    <w:pPr>
      <w:ind w:left="720"/>
      <w:contextualSpacing/>
    </w:pPr>
  </w:style>
  <w:style w:type="character" w:styleId="a8">
    <w:name w:val="annotation reference"/>
    <w:basedOn w:val="a0"/>
    <w:uiPriority w:val="99"/>
    <w:semiHidden/>
    <w:unhideWhenUsed/>
    <w:rsid w:val="004C2788"/>
    <w:rPr>
      <w:sz w:val="16"/>
      <w:szCs w:val="16"/>
    </w:rPr>
  </w:style>
  <w:style w:type="paragraph" w:styleId="a9">
    <w:name w:val="annotation text"/>
    <w:basedOn w:val="a"/>
    <w:link w:val="aa"/>
    <w:uiPriority w:val="99"/>
    <w:unhideWhenUsed/>
    <w:rsid w:val="004C2788"/>
    <w:pPr>
      <w:spacing w:line="240" w:lineRule="auto"/>
    </w:pPr>
    <w:rPr>
      <w:sz w:val="20"/>
      <w:szCs w:val="20"/>
    </w:rPr>
  </w:style>
  <w:style w:type="character" w:customStyle="1" w:styleId="aa">
    <w:name w:val="Текст примітки Знак"/>
    <w:basedOn w:val="a0"/>
    <w:link w:val="a9"/>
    <w:uiPriority w:val="99"/>
    <w:rsid w:val="004C2788"/>
    <w:rPr>
      <w:sz w:val="20"/>
      <w:szCs w:val="20"/>
    </w:rPr>
  </w:style>
  <w:style w:type="paragraph" w:styleId="ab">
    <w:name w:val="annotation subject"/>
    <w:basedOn w:val="a9"/>
    <w:next w:val="a9"/>
    <w:link w:val="ac"/>
    <w:uiPriority w:val="99"/>
    <w:semiHidden/>
    <w:unhideWhenUsed/>
    <w:rsid w:val="004C2788"/>
    <w:rPr>
      <w:b/>
      <w:bCs/>
    </w:rPr>
  </w:style>
  <w:style w:type="character" w:customStyle="1" w:styleId="ac">
    <w:name w:val="Тема примітки Знак"/>
    <w:basedOn w:val="aa"/>
    <w:link w:val="ab"/>
    <w:uiPriority w:val="99"/>
    <w:semiHidden/>
    <w:rsid w:val="004C2788"/>
    <w:rPr>
      <w:b/>
      <w:bCs/>
      <w:sz w:val="20"/>
      <w:szCs w:val="20"/>
    </w:rPr>
  </w:style>
  <w:style w:type="paragraph" w:styleId="ad">
    <w:name w:val="Balloon Text"/>
    <w:basedOn w:val="a"/>
    <w:link w:val="ae"/>
    <w:uiPriority w:val="99"/>
    <w:semiHidden/>
    <w:unhideWhenUsed/>
    <w:rsid w:val="004C278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4C2788"/>
    <w:rPr>
      <w:rFonts w:ascii="Segoe UI" w:hAnsi="Segoe UI" w:cs="Segoe UI"/>
      <w:sz w:val="18"/>
      <w:szCs w:val="18"/>
    </w:rPr>
  </w:style>
  <w:style w:type="paragraph" w:styleId="af">
    <w:name w:val="Revision"/>
    <w:hidden/>
    <w:uiPriority w:val="99"/>
    <w:semiHidden/>
    <w:rsid w:val="001C448A"/>
    <w:pPr>
      <w:spacing w:after="0" w:line="240" w:lineRule="auto"/>
    </w:pPr>
  </w:style>
  <w:style w:type="paragraph" w:styleId="af0">
    <w:name w:val="footnote text"/>
    <w:basedOn w:val="a"/>
    <w:link w:val="af1"/>
    <w:uiPriority w:val="99"/>
    <w:semiHidden/>
    <w:unhideWhenUsed/>
    <w:rsid w:val="00875170"/>
    <w:pPr>
      <w:spacing w:after="0" w:line="240" w:lineRule="auto"/>
    </w:pPr>
    <w:rPr>
      <w:sz w:val="20"/>
      <w:szCs w:val="20"/>
    </w:rPr>
  </w:style>
  <w:style w:type="character" w:customStyle="1" w:styleId="af1">
    <w:name w:val="Текст виноски Знак"/>
    <w:basedOn w:val="a0"/>
    <w:link w:val="af0"/>
    <w:uiPriority w:val="99"/>
    <w:semiHidden/>
    <w:rsid w:val="00875170"/>
    <w:rPr>
      <w:sz w:val="20"/>
      <w:szCs w:val="20"/>
    </w:rPr>
  </w:style>
  <w:style w:type="character" w:styleId="af2">
    <w:name w:val="footnote reference"/>
    <w:basedOn w:val="a0"/>
    <w:uiPriority w:val="99"/>
    <w:semiHidden/>
    <w:unhideWhenUsed/>
    <w:rsid w:val="00875170"/>
    <w:rPr>
      <w:vertAlign w:val="superscript"/>
    </w:rPr>
  </w:style>
  <w:style w:type="character" w:styleId="af3">
    <w:name w:val="Hyperlink"/>
    <w:basedOn w:val="a0"/>
    <w:uiPriority w:val="99"/>
    <w:unhideWhenUsed/>
    <w:rsid w:val="008523E9"/>
    <w:rPr>
      <w:color w:val="0563C1" w:themeColor="hyperlink"/>
      <w:u w:val="single"/>
    </w:rPr>
  </w:style>
  <w:style w:type="character" w:styleId="af4">
    <w:name w:val="Emphasis"/>
    <w:basedOn w:val="a0"/>
    <w:uiPriority w:val="20"/>
    <w:qFormat/>
    <w:rsid w:val="008523E9"/>
    <w:rPr>
      <w:i/>
      <w:iCs/>
    </w:rPr>
  </w:style>
  <w:style w:type="character" w:customStyle="1" w:styleId="m-633399488290057694msoins">
    <w:name w:val="m_-633399488290057694msoins"/>
    <w:basedOn w:val="a0"/>
    <w:rsid w:val="00E2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143">
      <w:bodyDiv w:val="1"/>
      <w:marLeft w:val="0"/>
      <w:marRight w:val="0"/>
      <w:marTop w:val="0"/>
      <w:marBottom w:val="0"/>
      <w:divBdr>
        <w:top w:val="none" w:sz="0" w:space="0" w:color="auto"/>
        <w:left w:val="none" w:sz="0" w:space="0" w:color="auto"/>
        <w:bottom w:val="none" w:sz="0" w:space="0" w:color="auto"/>
        <w:right w:val="none" w:sz="0" w:space="0" w:color="auto"/>
      </w:divBdr>
    </w:div>
    <w:div w:id="693502333">
      <w:bodyDiv w:val="1"/>
      <w:marLeft w:val="0"/>
      <w:marRight w:val="0"/>
      <w:marTop w:val="0"/>
      <w:marBottom w:val="0"/>
      <w:divBdr>
        <w:top w:val="none" w:sz="0" w:space="0" w:color="auto"/>
        <w:left w:val="none" w:sz="0" w:space="0" w:color="auto"/>
        <w:bottom w:val="none" w:sz="0" w:space="0" w:color="auto"/>
        <w:right w:val="none" w:sz="0" w:space="0" w:color="auto"/>
      </w:divBdr>
    </w:div>
    <w:div w:id="1112672980">
      <w:bodyDiv w:val="1"/>
      <w:marLeft w:val="0"/>
      <w:marRight w:val="0"/>
      <w:marTop w:val="0"/>
      <w:marBottom w:val="0"/>
      <w:divBdr>
        <w:top w:val="none" w:sz="0" w:space="0" w:color="auto"/>
        <w:left w:val="none" w:sz="0" w:space="0" w:color="auto"/>
        <w:bottom w:val="none" w:sz="0" w:space="0" w:color="auto"/>
        <w:right w:val="none" w:sz="0" w:space="0" w:color="auto"/>
      </w:divBdr>
    </w:div>
    <w:div w:id="1149397279">
      <w:bodyDiv w:val="1"/>
      <w:marLeft w:val="0"/>
      <w:marRight w:val="0"/>
      <w:marTop w:val="0"/>
      <w:marBottom w:val="0"/>
      <w:divBdr>
        <w:top w:val="none" w:sz="0" w:space="0" w:color="auto"/>
        <w:left w:val="none" w:sz="0" w:space="0" w:color="auto"/>
        <w:bottom w:val="none" w:sz="0" w:space="0" w:color="auto"/>
        <w:right w:val="none" w:sz="0" w:space="0" w:color="auto"/>
      </w:divBdr>
    </w:div>
    <w:div w:id="1189100274">
      <w:bodyDiv w:val="1"/>
      <w:marLeft w:val="0"/>
      <w:marRight w:val="0"/>
      <w:marTop w:val="0"/>
      <w:marBottom w:val="0"/>
      <w:divBdr>
        <w:top w:val="none" w:sz="0" w:space="0" w:color="auto"/>
        <w:left w:val="none" w:sz="0" w:space="0" w:color="auto"/>
        <w:bottom w:val="none" w:sz="0" w:space="0" w:color="auto"/>
        <w:right w:val="none" w:sz="0" w:space="0" w:color="auto"/>
      </w:divBdr>
    </w:div>
    <w:div w:id="137141737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31">
          <w:marLeft w:val="274"/>
          <w:marRight w:val="0"/>
          <w:marTop w:val="0"/>
          <w:marBottom w:val="0"/>
          <w:divBdr>
            <w:top w:val="none" w:sz="0" w:space="0" w:color="auto"/>
            <w:left w:val="none" w:sz="0" w:space="0" w:color="auto"/>
            <w:bottom w:val="none" w:sz="0" w:space="0" w:color="auto"/>
            <w:right w:val="none" w:sz="0" w:space="0" w:color="auto"/>
          </w:divBdr>
        </w:div>
      </w:divsChild>
    </w:div>
    <w:div w:id="1407338092">
      <w:bodyDiv w:val="1"/>
      <w:marLeft w:val="0"/>
      <w:marRight w:val="0"/>
      <w:marTop w:val="0"/>
      <w:marBottom w:val="0"/>
      <w:divBdr>
        <w:top w:val="none" w:sz="0" w:space="0" w:color="auto"/>
        <w:left w:val="none" w:sz="0" w:space="0" w:color="auto"/>
        <w:bottom w:val="none" w:sz="0" w:space="0" w:color="auto"/>
        <w:right w:val="none" w:sz="0" w:space="0" w:color="auto"/>
      </w:divBdr>
    </w:div>
    <w:div w:id="1538614968">
      <w:bodyDiv w:val="1"/>
      <w:marLeft w:val="0"/>
      <w:marRight w:val="0"/>
      <w:marTop w:val="0"/>
      <w:marBottom w:val="0"/>
      <w:divBdr>
        <w:top w:val="none" w:sz="0" w:space="0" w:color="auto"/>
        <w:left w:val="none" w:sz="0" w:space="0" w:color="auto"/>
        <w:bottom w:val="none" w:sz="0" w:space="0" w:color="auto"/>
        <w:right w:val="none" w:sz="0" w:space="0" w:color="auto"/>
      </w:divBdr>
    </w:div>
    <w:div w:id="1591159649">
      <w:bodyDiv w:val="1"/>
      <w:marLeft w:val="0"/>
      <w:marRight w:val="0"/>
      <w:marTop w:val="0"/>
      <w:marBottom w:val="0"/>
      <w:divBdr>
        <w:top w:val="none" w:sz="0" w:space="0" w:color="auto"/>
        <w:left w:val="none" w:sz="0" w:space="0" w:color="auto"/>
        <w:bottom w:val="none" w:sz="0" w:space="0" w:color="auto"/>
        <w:right w:val="none" w:sz="0" w:space="0" w:color="auto"/>
      </w:divBdr>
      <w:divsChild>
        <w:div w:id="1634367091">
          <w:marLeft w:val="274"/>
          <w:marRight w:val="0"/>
          <w:marTop w:val="0"/>
          <w:marBottom w:val="0"/>
          <w:divBdr>
            <w:top w:val="none" w:sz="0" w:space="0" w:color="auto"/>
            <w:left w:val="none" w:sz="0" w:space="0" w:color="auto"/>
            <w:bottom w:val="none" w:sz="0" w:space="0" w:color="auto"/>
            <w:right w:val="none" w:sz="0" w:space="0" w:color="auto"/>
          </w:divBdr>
        </w:div>
        <w:div w:id="561067592">
          <w:marLeft w:val="274"/>
          <w:marRight w:val="0"/>
          <w:marTop w:val="0"/>
          <w:marBottom w:val="0"/>
          <w:divBdr>
            <w:top w:val="none" w:sz="0" w:space="0" w:color="auto"/>
            <w:left w:val="none" w:sz="0" w:space="0" w:color="auto"/>
            <w:bottom w:val="none" w:sz="0" w:space="0" w:color="auto"/>
            <w:right w:val="none" w:sz="0" w:space="0" w:color="auto"/>
          </w:divBdr>
        </w:div>
        <w:div w:id="169612507">
          <w:marLeft w:val="274"/>
          <w:marRight w:val="0"/>
          <w:marTop w:val="0"/>
          <w:marBottom w:val="0"/>
          <w:divBdr>
            <w:top w:val="none" w:sz="0" w:space="0" w:color="auto"/>
            <w:left w:val="none" w:sz="0" w:space="0" w:color="auto"/>
            <w:bottom w:val="none" w:sz="0" w:space="0" w:color="auto"/>
            <w:right w:val="none" w:sz="0" w:space="0" w:color="auto"/>
          </w:divBdr>
        </w:div>
        <w:div w:id="330524727">
          <w:marLeft w:val="274"/>
          <w:marRight w:val="0"/>
          <w:marTop w:val="0"/>
          <w:marBottom w:val="0"/>
          <w:divBdr>
            <w:top w:val="none" w:sz="0" w:space="0" w:color="auto"/>
            <w:left w:val="none" w:sz="0" w:space="0" w:color="auto"/>
            <w:bottom w:val="none" w:sz="0" w:space="0" w:color="auto"/>
            <w:right w:val="none" w:sz="0" w:space="0" w:color="auto"/>
          </w:divBdr>
        </w:div>
        <w:div w:id="950671799">
          <w:marLeft w:val="274"/>
          <w:marRight w:val="0"/>
          <w:marTop w:val="0"/>
          <w:marBottom w:val="0"/>
          <w:divBdr>
            <w:top w:val="none" w:sz="0" w:space="0" w:color="auto"/>
            <w:left w:val="none" w:sz="0" w:space="0" w:color="auto"/>
            <w:bottom w:val="none" w:sz="0" w:space="0" w:color="auto"/>
            <w:right w:val="none" w:sz="0" w:space="0" w:color="auto"/>
          </w:divBdr>
        </w:div>
        <w:div w:id="1986734848">
          <w:marLeft w:val="274"/>
          <w:marRight w:val="0"/>
          <w:marTop w:val="0"/>
          <w:marBottom w:val="0"/>
          <w:divBdr>
            <w:top w:val="none" w:sz="0" w:space="0" w:color="auto"/>
            <w:left w:val="none" w:sz="0" w:space="0" w:color="auto"/>
            <w:bottom w:val="none" w:sz="0" w:space="0" w:color="auto"/>
            <w:right w:val="none" w:sz="0" w:space="0" w:color="auto"/>
          </w:divBdr>
        </w:div>
        <w:div w:id="1875921829">
          <w:marLeft w:val="274"/>
          <w:marRight w:val="0"/>
          <w:marTop w:val="0"/>
          <w:marBottom w:val="0"/>
          <w:divBdr>
            <w:top w:val="none" w:sz="0" w:space="0" w:color="auto"/>
            <w:left w:val="none" w:sz="0" w:space="0" w:color="auto"/>
            <w:bottom w:val="none" w:sz="0" w:space="0" w:color="auto"/>
            <w:right w:val="none" w:sz="0" w:space="0" w:color="auto"/>
          </w:divBdr>
        </w:div>
        <w:div w:id="43061456">
          <w:marLeft w:val="274"/>
          <w:marRight w:val="0"/>
          <w:marTop w:val="0"/>
          <w:marBottom w:val="0"/>
          <w:divBdr>
            <w:top w:val="none" w:sz="0" w:space="0" w:color="auto"/>
            <w:left w:val="none" w:sz="0" w:space="0" w:color="auto"/>
            <w:bottom w:val="none" w:sz="0" w:space="0" w:color="auto"/>
            <w:right w:val="none" w:sz="0" w:space="0" w:color="auto"/>
          </w:divBdr>
        </w:div>
        <w:div w:id="1180898798">
          <w:marLeft w:val="274"/>
          <w:marRight w:val="0"/>
          <w:marTop w:val="0"/>
          <w:marBottom w:val="0"/>
          <w:divBdr>
            <w:top w:val="none" w:sz="0" w:space="0" w:color="auto"/>
            <w:left w:val="none" w:sz="0" w:space="0" w:color="auto"/>
            <w:bottom w:val="none" w:sz="0" w:space="0" w:color="auto"/>
            <w:right w:val="none" w:sz="0" w:space="0" w:color="auto"/>
          </w:divBdr>
        </w:div>
        <w:div w:id="702092445">
          <w:marLeft w:val="274"/>
          <w:marRight w:val="0"/>
          <w:marTop w:val="0"/>
          <w:marBottom w:val="0"/>
          <w:divBdr>
            <w:top w:val="none" w:sz="0" w:space="0" w:color="auto"/>
            <w:left w:val="none" w:sz="0" w:space="0" w:color="auto"/>
            <w:bottom w:val="none" w:sz="0" w:space="0" w:color="auto"/>
            <w:right w:val="none" w:sz="0" w:space="0" w:color="auto"/>
          </w:divBdr>
        </w:div>
        <w:div w:id="1875195573">
          <w:marLeft w:val="994"/>
          <w:marRight w:val="0"/>
          <w:marTop w:val="0"/>
          <w:marBottom w:val="0"/>
          <w:divBdr>
            <w:top w:val="none" w:sz="0" w:space="0" w:color="auto"/>
            <w:left w:val="none" w:sz="0" w:space="0" w:color="auto"/>
            <w:bottom w:val="none" w:sz="0" w:space="0" w:color="auto"/>
            <w:right w:val="none" w:sz="0" w:space="0" w:color="auto"/>
          </w:divBdr>
        </w:div>
        <w:div w:id="930354215">
          <w:marLeft w:val="994"/>
          <w:marRight w:val="0"/>
          <w:marTop w:val="0"/>
          <w:marBottom w:val="0"/>
          <w:divBdr>
            <w:top w:val="none" w:sz="0" w:space="0" w:color="auto"/>
            <w:left w:val="none" w:sz="0" w:space="0" w:color="auto"/>
            <w:bottom w:val="none" w:sz="0" w:space="0" w:color="auto"/>
            <w:right w:val="none" w:sz="0" w:space="0" w:color="auto"/>
          </w:divBdr>
        </w:div>
        <w:div w:id="378746099">
          <w:marLeft w:val="994"/>
          <w:marRight w:val="0"/>
          <w:marTop w:val="0"/>
          <w:marBottom w:val="0"/>
          <w:divBdr>
            <w:top w:val="none" w:sz="0" w:space="0" w:color="auto"/>
            <w:left w:val="none" w:sz="0" w:space="0" w:color="auto"/>
            <w:bottom w:val="none" w:sz="0" w:space="0" w:color="auto"/>
            <w:right w:val="none" w:sz="0" w:space="0" w:color="auto"/>
          </w:divBdr>
        </w:div>
        <w:div w:id="1904558277">
          <w:marLeft w:val="994"/>
          <w:marRight w:val="0"/>
          <w:marTop w:val="0"/>
          <w:marBottom w:val="0"/>
          <w:divBdr>
            <w:top w:val="none" w:sz="0" w:space="0" w:color="auto"/>
            <w:left w:val="none" w:sz="0" w:space="0" w:color="auto"/>
            <w:bottom w:val="none" w:sz="0" w:space="0" w:color="auto"/>
            <w:right w:val="none" w:sz="0" w:space="0" w:color="auto"/>
          </w:divBdr>
        </w:div>
        <w:div w:id="1946570687">
          <w:marLeft w:val="994"/>
          <w:marRight w:val="0"/>
          <w:marTop w:val="0"/>
          <w:marBottom w:val="0"/>
          <w:divBdr>
            <w:top w:val="none" w:sz="0" w:space="0" w:color="auto"/>
            <w:left w:val="none" w:sz="0" w:space="0" w:color="auto"/>
            <w:bottom w:val="none" w:sz="0" w:space="0" w:color="auto"/>
            <w:right w:val="none" w:sz="0" w:space="0" w:color="auto"/>
          </w:divBdr>
        </w:div>
        <w:div w:id="544098786">
          <w:marLeft w:val="274"/>
          <w:marRight w:val="0"/>
          <w:marTop w:val="0"/>
          <w:marBottom w:val="0"/>
          <w:divBdr>
            <w:top w:val="none" w:sz="0" w:space="0" w:color="auto"/>
            <w:left w:val="none" w:sz="0" w:space="0" w:color="auto"/>
            <w:bottom w:val="none" w:sz="0" w:space="0" w:color="auto"/>
            <w:right w:val="none" w:sz="0" w:space="0" w:color="auto"/>
          </w:divBdr>
        </w:div>
        <w:div w:id="23366639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528D-E1E8-4D7B-A2C0-B0F35A3A46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8DD15A-91AA-4602-8B15-DE03453B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1528</Words>
  <Characters>9490</Characters>
  <Application>Microsoft Office Word</Application>
  <DocSecurity>0</DocSecurity>
  <Lines>172</Lines>
  <Paragraphs>94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EBRD</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Olena Khomych</cp:lastModifiedBy>
  <cp:revision>10</cp:revision>
  <dcterms:created xsi:type="dcterms:W3CDTF">2024-02-03T11:48:00Z</dcterms:created>
  <dcterms:modified xsi:type="dcterms:W3CDTF">2024-03-18T15:43:00Z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f582cbc1-4d4b-4ca8-8beb-b74399796630</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GrammarlyDocumentId">
    <vt:lpwstr>80e6a41299ea4fa61e5ebfb9b960c4cf079eb6c3d5d3d94897ca80c1b3c84ef6</vt:lpwstr>
  </property>
  <property fmtid="{D5CDD505-2E9C-101B-9397-08002B2CF9AE}" pid="12"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y fmtid="{D5CDD505-2E9C-101B-9397-08002B2CF9AE}" pid="14" name="bjClsUserRVM">
    <vt:lpwstr>[]</vt:lpwstr>
  </property>
</Properties>
</file>