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97E2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Calibri" w:hAnsi="Calibri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Запит на подання висловлень про зацікавленість</w:t>
      </w:r>
    </w:p>
    <w:p w14:paraId="4F326981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(консультаційні послуги</w:t>
      </w:r>
      <w:r w:rsidRPr="0038154B">
        <w:rPr>
          <w:lang w:val="uk-UA"/>
        </w:rPr>
        <w:t xml:space="preserve"> 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– </w:t>
      </w:r>
      <w:r w:rsidR="0038154B" w:rsidRPr="00732DFE">
        <w:rPr>
          <w:rFonts w:ascii="Times New Roman Bold" w:hAnsi="Times New Roman Bold" w:hint="eastAsia"/>
          <w:b/>
          <w:bCs/>
          <w:caps/>
          <w:kern w:val="36"/>
          <w:sz w:val="24"/>
          <w:szCs w:val="24"/>
          <w:lang w:val="uk-UA" w:eastAsia="uk-UA"/>
        </w:rPr>
        <w:t>ВІДБІР</w:t>
      </w:r>
      <w:r w:rsidR="0038154B" w:rsidRPr="00732DFE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 ІНдивідуальних консультантів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)</w:t>
      </w:r>
    </w:p>
    <w:p w14:paraId="5C0660BD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</w:p>
    <w:p w14:paraId="7BBA1B8E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Другий проект з передачі електроенергії </w:t>
      </w:r>
    </w:p>
    <w:p w14:paraId="2DC0222E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КОМПОНЕНТ 3 “ПІДВИЩЕННЯ ІНСТИТУЦІЙНОГО ПОТЕНЦІАЛУ МІНЕНЕРГО ДЛЯ ВПРОВАДЖЕННЯ РЕФОРМ”</w:t>
      </w:r>
    </w:p>
    <w:p w14:paraId="3EEC0179" w14:textId="77777777"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14:paraId="7F0152B9" w14:textId="77777777" w:rsidR="008B1407" w:rsidRPr="008B1407" w:rsidRDefault="00FD555C" w:rsidP="008B1407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КОНСУЛЬТАЦІЙНІ</w:t>
      </w:r>
      <w:r w:rsidRPr="0038154B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Pr="0038154B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ПОСЛУГИ</w:t>
      </w:r>
      <w:r w:rsidRPr="0038154B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ЕКСПЕРТ</w:t>
      </w:r>
      <w:r>
        <w:rPr>
          <w:rFonts w:hint="eastAsia"/>
          <w:b/>
          <w:szCs w:val="28"/>
          <w:lang w:val="uk-UA" w:eastAsia="uk-UA"/>
        </w:rPr>
        <w:t>А</w:t>
      </w:r>
      <w:r w:rsidRPr="00B00E5B">
        <w:rPr>
          <w:b/>
          <w:szCs w:val="28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З</w:t>
      </w:r>
      <w:r w:rsidRPr="00B00E5B">
        <w:rPr>
          <w:b/>
          <w:szCs w:val="28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КООРДИНАЦІЇ</w:t>
      </w:r>
      <w:r w:rsidRPr="00B00E5B">
        <w:rPr>
          <w:b/>
          <w:szCs w:val="28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ВПРОВАДЖЕННЯ</w:t>
      </w:r>
      <w:r w:rsidRPr="00B00E5B">
        <w:rPr>
          <w:b/>
          <w:szCs w:val="28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КОНЦЕПЦІЇ</w:t>
      </w:r>
      <w:r w:rsidRPr="00B00E5B">
        <w:rPr>
          <w:b/>
          <w:szCs w:val="28"/>
          <w:lang w:val="uk-UA" w:eastAsia="uk-UA"/>
        </w:rPr>
        <w:t xml:space="preserve"> “</w:t>
      </w:r>
      <w:r w:rsidRPr="00B00E5B">
        <w:rPr>
          <w:rFonts w:hint="eastAsia"/>
          <w:b/>
          <w:szCs w:val="28"/>
          <w:lang w:val="uk-UA" w:eastAsia="uk-UA"/>
        </w:rPr>
        <w:t>РОЗУМНИХ</w:t>
      </w:r>
      <w:r w:rsidRPr="00B00E5B">
        <w:rPr>
          <w:b/>
          <w:szCs w:val="28"/>
          <w:lang w:val="uk-UA" w:eastAsia="uk-UA"/>
        </w:rPr>
        <w:t xml:space="preserve"> </w:t>
      </w:r>
      <w:r w:rsidRPr="00B00E5B">
        <w:rPr>
          <w:rFonts w:hint="eastAsia"/>
          <w:b/>
          <w:szCs w:val="28"/>
          <w:lang w:val="uk-UA" w:eastAsia="uk-UA"/>
        </w:rPr>
        <w:t>МЕРЕЖ”</w:t>
      </w:r>
    </w:p>
    <w:p w14:paraId="70CF8641" w14:textId="77777777" w:rsidR="00E12F1A" w:rsidRPr="00AA2363" w:rsidRDefault="00E12F1A" w:rsidP="00AA2363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</w:p>
    <w:p w14:paraId="645E5FFA" w14:textId="77777777"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14:paraId="1394D71C" w14:textId="77777777"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Позика № </w:t>
      </w:r>
      <w:bookmarkStart w:id="0" w:name="_Hlk518914813"/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8462 UA </w:t>
      </w:r>
      <w:bookmarkEnd w:id="0"/>
    </w:p>
    <w:p w14:paraId="500D061E" w14:textId="77777777"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Номер проекту № P146788</w:t>
      </w:r>
    </w:p>
    <w:p w14:paraId="1EB0888A" w14:textId="77777777"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Висловлення про зацікавленість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38154B" w:rsidRPr="00786DF5" w14:paraId="5084CDA5" w14:textId="77777777" w:rsidTr="00212DC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572CF3A" w14:textId="77777777" w:rsidR="00E12F1A" w:rsidRPr="0038154B" w:rsidRDefault="00E12F1A" w:rsidP="00212DC2">
            <w:pPr>
              <w:spacing w:line="154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11D20A3C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 за підтримки Міжнародного банку реконструкції та розвитку (далі – „МБРР”) в рамках Другого Проекту з передачі електроенергії має намір залучити консультаційні послуги.</w:t>
      </w:r>
    </w:p>
    <w:p w14:paraId="41DF6ABA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30E2DA0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Консультаційні послуги (далі – „Послуги”) включатимуть </w:t>
      </w:r>
      <w:r w:rsidR="004058F9" w:rsidRPr="0038154B">
        <w:rPr>
          <w:rFonts w:ascii="Times New Roman" w:hAnsi="Times New Roman"/>
          <w:sz w:val="24"/>
          <w:szCs w:val="24"/>
          <w:lang w:val="uk-UA" w:eastAsia="uk-UA"/>
        </w:rPr>
        <w:t xml:space="preserve">послуги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Міністерству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енергетики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України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="00A22327" w:rsidRPr="00A22327">
        <w:rPr>
          <w:rFonts w:ascii="Times New Roman" w:eastAsiaTheme="minorHAnsi" w:hAnsi="Times New Roman" w:cstheme="minorBidi"/>
          <w:bCs/>
          <w:sz w:val="28"/>
          <w:szCs w:val="28"/>
          <w:lang w:val="uk-UA"/>
        </w:rPr>
        <w:t xml:space="preserve"> </w:t>
      </w:r>
      <w:r w:rsidR="00A22327" w:rsidRPr="00A22327">
        <w:rPr>
          <w:rFonts w:ascii="Times New Roman" w:hAnsi="Times New Roman"/>
          <w:bCs/>
          <w:sz w:val="24"/>
          <w:szCs w:val="24"/>
          <w:lang w:val="uk-UA" w:eastAsia="uk-UA"/>
        </w:rPr>
        <w:t>аналітичн</w:t>
      </w:r>
      <w:r w:rsidR="00A22327">
        <w:rPr>
          <w:rFonts w:ascii="Times New Roman" w:hAnsi="Times New Roman"/>
          <w:bCs/>
          <w:sz w:val="24"/>
          <w:szCs w:val="24"/>
          <w:lang w:val="uk-UA" w:eastAsia="uk-UA"/>
        </w:rPr>
        <w:t>ої</w:t>
      </w:r>
      <w:r w:rsidR="00A22327" w:rsidRPr="00A22327">
        <w:rPr>
          <w:rFonts w:ascii="Times New Roman" w:hAnsi="Times New Roman"/>
          <w:bCs/>
          <w:sz w:val="24"/>
          <w:szCs w:val="24"/>
          <w:lang w:val="uk-UA" w:eastAsia="uk-UA"/>
        </w:rPr>
        <w:t>, координаційн</w:t>
      </w:r>
      <w:r w:rsidR="00A22327">
        <w:rPr>
          <w:rFonts w:ascii="Times New Roman" w:hAnsi="Times New Roman"/>
          <w:bCs/>
          <w:sz w:val="24"/>
          <w:szCs w:val="24"/>
          <w:lang w:val="uk-UA" w:eastAsia="uk-UA"/>
        </w:rPr>
        <w:t>ої</w:t>
      </w:r>
      <w:r w:rsidR="00A22327" w:rsidRPr="00A22327">
        <w:rPr>
          <w:rFonts w:ascii="Times New Roman" w:hAnsi="Times New Roman"/>
          <w:bCs/>
          <w:sz w:val="24"/>
          <w:szCs w:val="24"/>
          <w:lang w:val="uk-UA" w:eastAsia="uk-UA"/>
        </w:rPr>
        <w:t xml:space="preserve"> та експертн</w:t>
      </w:r>
      <w:r w:rsidR="00A22327">
        <w:rPr>
          <w:rFonts w:ascii="Times New Roman" w:hAnsi="Times New Roman"/>
          <w:bCs/>
          <w:sz w:val="24"/>
          <w:szCs w:val="24"/>
          <w:lang w:val="uk-UA" w:eastAsia="uk-UA"/>
        </w:rPr>
        <w:t>ої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підтримки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реалізації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Концепції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впровадження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«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розумних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мереж»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до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2035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року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затвердженої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розпорядженням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Кабінету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Міністрів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України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від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14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жовтня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2022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року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№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908-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р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далі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–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Концепція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812F48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Консультант працюватиме в межах Технічного завдання, основними завданнями роботи консультанта є:</w:t>
      </w:r>
    </w:p>
    <w:p w14:paraId="41F9149D" w14:textId="77777777" w:rsidR="00AA2363" w:rsidRPr="00AA2363" w:rsidRDefault="00A22327" w:rsidP="00EE0079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A22327">
        <w:rPr>
          <w:rFonts w:eastAsia="Aptos"/>
          <w:bCs/>
          <w:kern w:val="2"/>
          <w:lang w:val="uk-UA"/>
          <w14:ligatures w14:val="standardContextual"/>
        </w:rPr>
        <w:t>Моніторинг та координаційна підтримка</w:t>
      </w:r>
      <w:r w:rsidRPr="00A22327">
        <w:rPr>
          <w:rFonts w:eastAsia="Aptos"/>
          <w:kern w:val="2"/>
          <w:lang w:val="uk-UA"/>
          <w14:ligatures w14:val="standardContextual"/>
        </w:rPr>
        <w:t xml:space="preserve"> виконання Плану заходів щодо реалізації Концепції</w:t>
      </w:r>
      <w:r w:rsidRPr="00A22327">
        <w:rPr>
          <w:rFonts w:hint="eastAsia"/>
          <w:lang w:val="uk-UA" w:eastAsia="uk-UA"/>
        </w:rPr>
        <w:t xml:space="preserve"> впровадження</w:t>
      </w:r>
      <w:r w:rsidRPr="00A22327">
        <w:rPr>
          <w:lang w:val="uk-UA" w:eastAsia="uk-UA"/>
        </w:rPr>
        <w:t xml:space="preserve"> «</w:t>
      </w:r>
      <w:r w:rsidRPr="00A22327">
        <w:rPr>
          <w:rFonts w:hint="eastAsia"/>
          <w:lang w:val="uk-UA" w:eastAsia="uk-UA"/>
        </w:rPr>
        <w:t>розумних</w:t>
      </w:r>
      <w:r w:rsidRPr="00A22327">
        <w:rPr>
          <w:lang w:val="uk-UA" w:eastAsia="uk-UA"/>
        </w:rPr>
        <w:t xml:space="preserve"> </w:t>
      </w:r>
      <w:r w:rsidRPr="00A22327">
        <w:rPr>
          <w:rFonts w:hint="eastAsia"/>
          <w:lang w:val="uk-UA" w:eastAsia="uk-UA"/>
        </w:rPr>
        <w:t>мереж»</w:t>
      </w:r>
      <w:r w:rsidRPr="00A22327">
        <w:rPr>
          <w:lang w:val="uk-UA" w:eastAsia="uk-UA"/>
        </w:rPr>
        <w:t xml:space="preserve"> </w:t>
      </w:r>
      <w:r w:rsidRPr="00A22327">
        <w:rPr>
          <w:rFonts w:hint="eastAsia"/>
          <w:lang w:val="uk-UA" w:eastAsia="uk-UA"/>
        </w:rPr>
        <w:t>до</w:t>
      </w:r>
      <w:r w:rsidRPr="00A22327">
        <w:rPr>
          <w:lang w:val="uk-UA" w:eastAsia="uk-UA"/>
        </w:rPr>
        <w:t xml:space="preserve"> 2035 </w:t>
      </w:r>
      <w:r w:rsidRPr="00A22327">
        <w:rPr>
          <w:rFonts w:hint="eastAsia"/>
          <w:lang w:val="uk-UA" w:eastAsia="uk-UA"/>
        </w:rPr>
        <w:t>року</w:t>
      </w:r>
      <w:r w:rsidR="00AA2363" w:rsidRPr="00AA2363">
        <w:rPr>
          <w:lang w:val="uk-UA"/>
        </w:rPr>
        <w:t>;</w:t>
      </w:r>
    </w:p>
    <w:p w14:paraId="0B989B70" w14:textId="77777777" w:rsidR="00AA2363" w:rsidRPr="00AA2363" w:rsidRDefault="00A22327" w:rsidP="00812F4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Підтримка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Міненерго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з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питань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удосконалення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правової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бази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з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питань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впровадження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«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розумних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мереж»</w:t>
      </w:r>
      <w:r w:rsidR="00AA2363" w:rsidRPr="00AA2363">
        <w:rPr>
          <w:lang w:val="uk-UA"/>
        </w:rPr>
        <w:t xml:space="preserve">; </w:t>
      </w:r>
    </w:p>
    <w:p w14:paraId="788FC757" w14:textId="77777777" w:rsidR="00E12F1A" w:rsidRPr="00575A01" w:rsidRDefault="00A22327" w:rsidP="00812F48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Взаємодія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зі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стейкхолдерами та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посилення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інституційної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спроможності</w:t>
      </w:r>
      <w:proofErr w:type="spellEnd"/>
      <w:r w:rsidRPr="00A22327">
        <w:rPr>
          <w:rFonts w:eastAsia="Aptos"/>
          <w:kern w:val="2"/>
          <w:lang w:val="ru-RU"/>
          <w14:ligatures w14:val="standardContextual"/>
        </w:rPr>
        <w:t xml:space="preserve"> </w:t>
      </w:r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з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питань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впровадження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«</w:t>
      </w:r>
      <w:proofErr w:type="spellStart"/>
      <w:r w:rsidRPr="00A22327">
        <w:rPr>
          <w:rFonts w:eastAsia="Aptos"/>
          <w:bCs/>
          <w:kern w:val="2"/>
          <w:lang w:val="ru-RU"/>
          <w14:ligatures w14:val="standardContextual"/>
        </w:rPr>
        <w:t>розумних</w:t>
      </w:r>
      <w:proofErr w:type="spellEnd"/>
      <w:r w:rsidRPr="00A22327">
        <w:rPr>
          <w:rFonts w:eastAsia="Aptos"/>
          <w:bCs/>
          <w:kern w:val="2"/>
          <w:lang w:val="ru-RU"/>
          <w14:ligatures w14:val="standardContextual"/>
        </w:rPr>
        <w:t xml:space="preserve"> мереж»</w:t>
      </w:r>
      <w:r w:rsidR="00EE0079">
        <w:rPr>
          <w:lang w:val="uk-UA"/>
        </w:rPr>
        <w:t>.</w:t>
      </w:r>
    </w:p>
    <w:p w14:paraId="3EDF4287" w14:textId="77777777" w:rsidR="00E12F1A" w:rsidRPr="0038154B" w:rsidRDefault="00E12F1A" w:rsidP="00E12F1A">
      <w:pPr>
        <w:pStyle w:val="a5"/>
        <w:spacing w:line="154" w:lineRule="atLeast"/>
        <w:jc w:val="both"/>
        <w:rPr>
          <w:lang w:val="uk-UA" w:eastAsia="uk-UA"/>
        </w:rPr>
      </w:pPr>
    </w:p>
    <w:p w14:paraId="1607FA81" w14:textId="77777777" w:rsidR="00E12F1A" w:rsidRPr="0038154B" w:rsidRDefault="00E12F1A" w:rsidP="00E12F1A">
      <w:pPr>
        <w:pStyle w:val="a5"/>
        <w:spacing w:line="154" w:lineRule="atLeast"/>
        <w:ind w:left="0"/>
        <w:jc w:val="both"/>
        <w:rPr>
          <w:lang w:val="uk-UA" w:eastAsia="uk-UA"/>
        </w:rPr>
      </w:pPr>
      <w:r w:rsidRPr="0038154B">
        <w:rPr>
          <w:lang w:val="uk-UA" w:eastAsia="uk-UA"/>
        </w:rPr>
        <w:t xml:space="preserve">Очікуваний період надання послуг – до </w:t>
      </w:r>
      <w:r w:rsidR="00FD555C" w:rsidRPr="00FD555C">
        <w:rPr>
          <w:lang w:val="ru-RU" w:eastAsia="uk-UA"/>
        </w:rPr>
        <w:t>31</w:t>
      </w:r>
      <w:r w:rsidR="00575A01">
        <w:rPr>
          <w:lang w:val="uk-UA" w:eastAsia="uk-UA"/>
        </w:rPr>
        <w:t xml:space="preserve"> </w:t>
      </w:r>
      <w:r w:rsidR="00FD555C">
        <w:rPr>
          <w:lang w:val="uk-UA" w:eastAsia="uk-UA"/>
        </w:rPr>
        <w:t>грудня</w:t>
      </w:r>
      <w:r w:rsidRPr="0038154B">
        <w:rPr>
          <w:lang w:val="uk-UA" w:eastAsia="uk-UA"/>
        </w:rPr>
        <w:t xml:space="preserve"> 202</w:t>
      </w:r>
      <w:r w:rsidR="00FD555C">
        <w:rPr>
          <w:lang w:val="uk-UA" w:eastAsia="uk-UA"/>
        </w:rPr>
        <w:t>6</w:t>
      </w:r>
      <w:r w:rsidRPr="0038154B">
        <w:rPr>
          <w:lang w:val="uk-UA" w:eastAsia="uk-UA"/>
        </w:rPr>
        <w:t xml:space="preserve"> року.</w:t>
      </w:r>
    </w:p>
    <w:p w14:paraId="4B21E8F3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EF2940E" w14:textId="77777777"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Міністерство енергетики України цим запрошує прийнятних індивідуальних консультантів (далі – „Консультанти”) висловити свою зацікавленість у наданні відповідних послуг. Зацікавлені Консультанти мають надати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докладне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резюме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українською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англійською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мовами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описом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кваліфікації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досвіду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роботи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Консультанта, необхідних для виконання вищезазначених Послуг.</w:t>
      </w:r>
      <w:r w:rsidR="00E12F1A" w:rsidRPr="0038154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14:paraId="6B26DEDC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D408ED7" w14:textId="77777777" w:rsidR="0038154B" w:rsidRPr="0038154B" w:rsidRDefault="0038154B" w:rsidP="0038154B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38154B">
        <w:rPr>
          <w:rFonts w:ascii="Times New Roman" w:hAnsi="Times New Roman"/>
          <w:sz w:val="24"/>
          <w:szCs w:val="24"/>
          <w:lang w:val="ru-RU"/>
        </w:rPr>
        <w:t xml:space="preserve">Консультант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відповідати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наступним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кваліфікаційним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вимогам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40B49DC1" w14:textId="77777777" w:rsidR="00FD555C" w:rsidRPr="00FD555C" w:rsidRDefault="00FD555C" w:rsidP="00FD555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FD555C">
        <w:rPr>
          <w:rFonts w:hint="eastAsia"/>
          <w:lang w:val="ru-RU"/>
        </w:rPr>
        <w:t>Освіта</w:t>
      </w:r>
      <w:proofErr w:type="spellEnd"/>
      <w:r w:rsidRPr="00FD555C">
        <w:rPr>
          <w:lang w:val="ru-RU"/>
        </w:rPr>
        <w:t xml:space="preserve">: </w:t>
      </w:r>
      <w:proofErr w:type="spellStart"/>
      <w:r w:rsidRPr="00FD555C">
        <w:rPr>
          <w:rFonts w:hint="eastAsia"/>
          <w:lang w:val="ru-RU"/>
        </w:rPr>
        <w:t>вища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у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сфері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електроенергетики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або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інша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релевантна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завданню</w:t>
      </w:r>
      <w:proofErr w:type="spellEnd"/>
      <w:r w:rsidRPr="00FD555C">
        <w:rPr>
          <w:lang w:val="ru-RU"/>
        </w:rPr>
        <w:t>;</w:t>
      </w:r>
    </w:p>
    <w:p w14:paraId="6C14D22C" w14:textId="77777777" w:rsidR="00FD555C" w:rsidRPr="00FD555C" w:rsidRDefault="00FD555C" w:rsidP="00FD555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FD555C">
        <w:rPr>
          <w:rFonts w:hint="eastAsia"/>
          <w:lang w:val="ru-RU"/>
        </w:rPr>
        <w:t>Досвід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роботи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в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сфері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електроенергетики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щонайменше</w:t>
      </w:r>
      <w:proofErr w:type="spellEnd"/>
      <w:r w:rsidRPr="00FD555C">
        <w:rPr>
          <w:lang w:val="ru-RU"/>
        </w:rPr>
        <w:t xml:space="preserve"> 5 </w:t>
      </w:r>
      <w:proofErr w:type="spellStart"/>
      <w:r w:rsidRPr="00FD555C">
        <w:rPr>
          <w:rFonts w:hint="eastAsia"/>
          <w:lang w:val="ru-RU"/>
        </w:rPr>
        <w:t>років</w:t>
      </w:r>
      <w:proofErr w:type="spellEnd"/>
      <w:r w:rsidRPr="00FD555C">
        <w:rPr>
          <w:lang w:val="ru-RU"/>
        </w:rPr>
        <w:t>;</w:t>
      </w:r>
    </w:p>
    <w:p w14:paraId="75CFD2C0" w14:textId="77777777" w:rsidR="00FD555C" w:rsidRPr="00FD555C" w:rsidRDefault="00FD555C" w:rsidP="00FD555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FD555C">
        <w:rPr>
          <w:rFonts w:hint="eastAsia"/>
          <w:lang w:val="ru-RU"/>
        </w:rPr>
        <w:t>Досвід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підготовки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та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моніторингу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реалізації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програмних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документів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зокрема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стратегій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концепцій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дорожніх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карт</w:t>
      </w:r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планів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заходів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тощо</w:t>
      </w:r>
      <w:proofErr w:type="spellEnd"/>
      <w:r w:rsidRPr="00FD555C">
        <w:rPr>
          <w:lang w:val="ru-RU"/>
        </w:rPr>
        <w:t>;</w:t>
      </w:r>
    </w:p>
    <w:p w14:paraId="40D4F7D3" w14:textId="77777777" w:rsidR="00FD555C" w:rsidRPr="00FD555C" w:rsidRDefault="00FD555C" w:rsidP="00FD555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FD555C">
        <w:rPr>
          <w:rFonts w:hint="eastAsia"/>
          <w:lang w:val="ru-RU"/>
        </w:rPr>
        <w:lastRenderedPageBreak/>
        <w:t>Досвід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підготовки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проектів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правових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актів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зокрема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законів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України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актів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Кабінету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Міністрів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України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тощо</w:t>
      </w:r>
      <w:proofErr w:type="spellEnd"/>
      <w:r w:rsidRPr="00FD555C">
        <w:rPr>
          <w:lang w:val="ru-RU"/>
        </w:rPr>
        <w:t>;</w:t>
      </w:r>
    </w:p>
    <w:p w14:paraId="45343F08" w14:textId="77777777" w:rsidR="00FD555C" w:rsidRPr="00FD555C" w:rsidRDefault="00FD555C" w:rsidP="00FD555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FD555C">
        <w:rPr>
          <w:rFonts w:hint="eastAsia"/>
          <w:lang w:val="ru-RU"/>
        </w:rPr>
        <w:t>Ґрунтовні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знання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у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сфері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інтелектуалізації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енергетичного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сектору</w:t>
      </w:r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зокрема</w:t>
      </w:r>
      <w:proofErr w:type="spellEnd"/>
      <w:r w:rsidRPr="00FD555C">
        <w:rPr>
          <w:lang w:val="ru-RU"/>
        </w:rPr>
        <w:t>, "</w:t>
      </w:r>
      <w:proofErr w:type="spellStart"/>
      <w:r w:rsidRPr="00FD555C">
        <w:rPr>
          <w:rFonts w:hint="eastAsia"/>
          <w:lang w:val="ru-RU"/>
        </w:rPr>
        <w:t>розумних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мереж</w:t>
      </w:r>
      <w:r w:rsidRPr="00FD555C">
        <w:rPr>
          <w:lang w:val="ru-RU"/>
        </w:rPr>
        <w:t xml:space="preserve">", </w:t>
      </w:r>
      <w:proofErr w:type="spellStart"/>
      <w:r w:rsidRPr="00FD555C">
        <w:rPr>
          <w:rFonts w:hint="eastAsia"/>
          <w:lang w:val="ru-RU"/>
        </w:rPr>
        <w:t>що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підтверджуються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участю</w:t>
      </w:r>
      <w:proofErr w:type="spellEnd"/>
      <w:r w:rsidRPr="00FD555C">
        <w:rPr>
          <w:lang w:val="ru-RU"/>
        </w:rPr>
        <w:t xml:space="preserve"> </w:t>
      </w:r>
      <w:proofErr w:type="gramStart"/>
      <w:r w:rsidRPr="00FD555C">
        <w:rPr>
          <w:rFonts w:hint="eastAsia"/>
          <w:lang w:val="ru-RU"/>
        </w:rPr>
        <w:t>у</w:t>
      </w:r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роботах</w:t>
      </w:r>
      <w:proofErr w:type="gramEnd"/>
      <w:r w:rsidRPr="00FD555C">
        <w:rPr>
          <w:lang w:val="ru-RU"/>
        </w:rPr>
        <w:t xml:space="preserve">, </w:t>
      </w:r>
      <w:r w:rsidRPr="00FD555C">
        <w:rPr>
          <w:rFonts w:hint="eastAsia"/>
          <w:lang w:val="ru-RU"/>
        </w:rPr>
        <w:t>проектах</w:t>
      </w:r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публікаціях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тощо</w:t>
      </w:r>
      <w:proofErr w:type="spellEnd"/>
      <w:r w:rsidRPr="00FD555C">
        <w:rPr>
          <w:lang w:val="ru-RU"/>
        </w:rPr>
        <w:t>;</w:t>
      </w:r>
    </w:p>
    <w:p w14:paraId="0062E689" w14:textId="77777777" w:rsidR="00E12F1A" w:rsidRPr="00FD555C" w:rsidRDefault="00FD555C" w:rsidP="00585F4A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proofErr w:type="spellStart"/>
      <w:r w:rsidRPr="00FD555C">
        <w:rPr>
          <w:rFonts w:hint="eastAsia"/>
          <w:lang w:val="ru-RU"/>
        </w:rPr>
        <w:t>Вільне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володіння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українською</w:t>
      </w:r>
      <w:proofErr w:type="spellEnd"/>
      <w:r w:rsidRPr="00FD555C">
        <w:rPr>
          <w:lang w:val="ru-RU"/>
        </w:rPr>
        <w:t xml:space="preserve">, </w:t>
      </w:r>
      <w:proofErr w:type="spellStart"/>
      <w:r w:rsidRPr="00FD555C">
        <w:rPr>
          <w:rFonts w:hint="eastAsia"/>
          <w:lang w:val="ru-RU"/>
        </w:rPr>
        <w:t>володіння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англійською</w:t>
      </w:r>
      <w:proofErr w:type="spellEnd"/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вважатиметься</w:t>
      </w:r>
      <w:proofErr w:type="spellEnd"/>
      <w:r w:rsidRPr="00FD555C">
        <w:rPr>
          <w:lang w:val="ru-RU"/>
        </w:rPr>
        <w:t xml:space="preserve"> </w:t>
      </w:r>
      <w:r w:rsidRPr="00FD555C">
        <w:rPr>
          <w:rFonts w:hint="eastAsia"/>
          <w:lang w:val="ru-RU"/>
        </w:rPr>
        <w:t>за</w:t>
      </w:r>
      <w:r w:rsidRPr="00FD555C">
        <w:rPr>
          <w:lang w:val="ru-RU"/>
        </w:rPr>
        <w:t xml:space="preserve"> </w:t>
      </w:r>
      <w:proofErr w:type="spellStart"/>
      <w:r w:rsidRPr="00FD555C">
        <w:rPr>
          <w:rFonts w:hint="eastAsia"/>
          <w:lang w:val="ru-RU"/>
        </w:rPr>
        <w:t>перевагу</w:t>
      </w:r>
      <w:proofErr w:type="spellEnd"/>
      <w:r w:rsidRPr="00FD555C">
        <w:rPr>
          <w:lang w:val="ru-RU"/>
        </w:rPr>
        <w:t>.</w:t>
      </w:r>
    </w:p>
    <w:p w14:paraId="6D32B3F7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D2EEC4A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Зацікавлені консультанти мають звернути увагу на параграф 1.9 „Керівництва: відбір та залучення консультантів за позиками МБРР, кредитами та грантами МАР позичальниками Світового банку”, опублікованого Світовим банком у січні 2011 року зі змінами від липня 2014 року (далі – Керівництво з відбору консультантів), що визначає політику Світового банку щодо конфлікту інтересів. </w:t>
      </w:r>
    </w:p>
    <w:p w14:paraId="1C2BA7C7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1D04F6A" w14:textId="77777777"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Відбір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здійснюватиметься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відповідно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процедури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індивідуальних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/>
          <w:sz w:val="24"/>
          <w:szCs w:val="24"/>
          <w:lang w:eastAsia="uk-UA"/>
        </w:rPr>
        <w:t>IC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), визначеної у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Керівництві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3F837258" w14:textId="77777777" w:rsidR="00E12F1A" w:rsidRPr="0038154B" w:rsidRDefault="00E12F1A" w:rsidP="00E12F1A">
      <w:pPr>
        <w:suppressAutoHyphens/>
        <w:rPr>
          <w:rFonts w:ascii="Times New Roman" w:hAnsi="Times New Roman"/>
          <w:spacing w:val="-2"/>
          <w:sz w:val="24"/>
          <w:lang w:val="uk-UA"/>
        </w:rPr>
      </w:pPr>
    </w:p>
    <w:p w14:paraId="30C675D5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Зацікавлені Консультанти можуть отримати додаткову інформацію за наведеними нижче адресами протягом робочих днів з 08:00 до 17:00.</w:t>
      </w:r>
    </w:p>
    <w:p w14:paraId="48A33A61" w14:textId="77777777"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9037873" w14:textId="3ECC3A0E" w:rsidR="00E12F1A" w:rsidRPr="007E4DCE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Висловлення про зацікавленість мають бути надані поштою, факсом або електронною поштою (сканована версія) до 1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7</w:t>
      </w:r>
      <w:r w:rsidR="00575A01">
        <w:rPr>
          <w:rFonts w:ascii="Times New Roman" w:hAnsi="Times New Roman"/>
          <w:sz w:val="24"/>
          <w:szCs w:val="24"/>
          <w:lang w:val="uk-UA" w:eastAsia="uk-UA"/>
        </w:rPr>
        <w:t>: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00 </w:t>
      </w:r>
      <w:r w:rsidR="004E3BA4">
        <w:rPr>
          <w:rFonts w:ascii="Times New Roman" w:hAnsi="Times New Roman"/>
          <w:sz w:val="24"/>
          <w:szCs w:val="24"/>
          <w:lang w:val="ru-RU" w:eastAsia="uk-UA"/>
        </w:rPr>
        <w:t>20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</w:t>
      </w:r>
      <w:r w:rsidR="00575A01">
        <w:rPr>
          <w:rFonts w:ascii="Times New Roman" w:hAnsi="Times New Roman"/>
          <w:sz w:val="24"/>
          <w:szCs w:val="24"/>
          <w:lang w:val="uk-UA" w:eastAsia="uk-UA"/>
        </w:rPr>
        <w:t>1</w:t>
      </w:r>
      <w:r w:rsidR="00812F48"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.202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за </w:t>
      </w:r>
      <w:proofErr w:type="spellStart"/>
      <w:r w:rsidRPr="0038154B">
        <w:rPr>
          <w:rFonts w:ascii="Times New Roman" w:hAnsi="Times New Roman"/>
          <w:sz w:val="24"/>
          <w:szCs w:val="24"/>
          <w:lang w:val="uk-UA" w:eastAsia="uk-UA"/>
        </w:rPr>
        <w:t>адресою</w:t>
      </w:r>
      <w:proofErr w:type="spellEnd"/>
      <w:r w:rsidRPr="0038154B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5530AC1E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highlight w:val="yellow"/>
          <w:lang w:val="uk-UA"/>
        </w:rPr>
      </w:pPr>
    </w:p>
    <w:p w14:paraId="4747DAA8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подання висловлень про зацікавленість:</w:t>
      </w:r>
    </w:p>
    <w:p w14:paraId="2A9C3E1E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707CBA1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14:paraId="111BCB50" w14:textId="77777777" w:rsidR="00E12F1A" w:rsidRPr="00861C06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>E-</w:t>
      </w:r>
      <w:proofErr w:type="spellStart"/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>mail</w:t>
      </w:r>
      <w:proofErr w:type="spellEnd"/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 xml:space="preserve">: </w:t>
      </w:r>
      <w:hyperlink r:id="rId7" w:history="1">
        <w:r w:rsidR="00786DF5" w:rsidRPr="00E323D3">
          <w:rPr>
            <w:rStyle w:val="a3"/>
          </w:rPr>
          <w:t>Jobs@mev.gov.ua</w:t>
        </w:r>
      </w:hyperlink>
      <w:r w:rsidR="00786DF5">
        <w:rPr>
          <w:rFonts w:asciiTheme="minorHAnsi" w:hAnsiTheme="minorHAnsi"/>
          <w:lang w:val="ru-RU"/>
        </w:rPr>
        <w:t xml:space="preserve"> </w:t>
      </w:r>
      <w:r w:rsidR="00575A01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14:paraId="72537E26" w14:textId="77777777" w:rsidR="00E12F1A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081B5997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отримання роз’яснень:</w:t>
      </w:r>
    </w:p>
    <w:p w14:paraId="1C48AAFB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14:paraId="2AD430B5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proofErr w:type="spellStart"/>
      <w:r w:rsidRPr="0038154B">
        <w:rPr>
          <w:rFonts w:ascii="Times New Roman" w:hAnsi="Times New Roman"/>
          <w:spacing w:val="-2"/>
          <w:sz w:val="24"/>
          <w:lang w:val="uk-UA"/>
        </w:rPr>
        <w:t>Д.Толмачову</w:t>
      </w:r>
      <w:proofErr w:type="spellEnd"/>
      <w:r w:rsidRPr="0038154B">
        <w:rPr>
          <w:rFonts w:ascii="Times New Roman" w:hAnsi="Times New Roman"/>
          <w:spacing w:val="-2"/>
          <w:sz w:val="24"/>
          <w:lang w:val="uk-UA"/>
        </w:rPr>
        <w:t xml:space="preserve">, керівнику Групи координації проекту </w:t>
      </w:r>
    </w:p>
    <w:p w14:paraId="295D5B35" w14:textId="77777777"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proofErr w:type="spellStart"/>
      <w:r w:rsidRPr="0038154B">
        <w:rPr>
          <w:rFonts w:ascii="Times New Roman" w:hAnsi="Times New Roman"/>
          <w:spacing w:val="-2"/>
          <w:sz w:val="24"/>
          <w:lang w:val="uk-UA"/>
        </w:rPr>
        <w:t>Тел</w:t>
      </w:r>
      <w:proofErr w:type="spellEnd"/>
      <w:r w:rsidRPr="0038154B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Pr="0038154B">
        <w:rPr>
          <w:rFonts w:ascii="Times New Roman" w:hAnsi="Times New Roman"/>
          <w:spacing w:val="-2"/>
          <w:sz w:val="24"/>
          <w:lang w:val="uk-UA"/>
        </w:rPr>
        <w:tab/>
        <w:t>380 67 935 47 27</w:t>
      </w:r>
    </w:p>
    <w:p w14:paraId="7D80D6B8" w14:textId="77777777" w:rsidR="00E12F1A" w:rsidRPr="0038154B" w:rsidRDefault="00E12F1A" w:rsidP="00E12F1A">
      <w:pPr>
        <w:suppressAutoHyphens/>
        <w:jc w:val="both"/>
        <w:rPr>
          <w:rFonts w:asciiTheme="minorHAnsi" w:hAnsiTheme="minorHAnsi"/>
          <w:lang w:val="uk-UA"/>
        </w:rPr>
      </w:pPr>
      <w:r w:rsidRPr="00AE3B65">
        <w:rPr>
          <w:lang w:val="uk-UA"/>
        </w:rPr>
        <w:t>E-</w:t>
      </w:r>
      <w:proofErr w:type="spellStart"/>
      <w:r w:rsidRPr="00AE3B65">
        <w:rPr>
          <w:lang w:val="uk-UA"/>
        </w:rPr>
        <w:t>mail</w:t>
      </w:r>
      <w:proofErr w:type="spellEnd"/>
      <w:r w:rsidRPr="00AE3B65">
        <w:rPr>
          <w:lang w:val="uk-UA"/>
        </w:rPr>
        <w:t xml:space="preserve">: </w:t>
      </w:r>
      <w:hyperlink r:id="rId8" w:history="1"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dm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y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tr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o.v.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tolmachov@gmail.com</w:t>
        </w:r>
      </w:hyperlink>
    </w:p>
    <w:p w14:paraId="52BA4236" w14:textId="77777777" w:rsidR="00E12F1A" w:rsidRPr="00AE3B65" w:rsidRDefault="00E12F1A" w:rsidP="00E12F1A">
      <w:pPr>
        <w:suppressAutoHyphens/>
        <w:jc w:val="both"/>
        <w:rPr>
          <w:rFonts w:ascii="Calibri" w:hAnsi="Calibri"/>
          <w:lang w:val="uk-UA"/>
        </w:rPr>
      </w:pPr>
    </w:p>
    <w:sectPr w:rsidR="00E12F1A" w:rsidRPr="00AE3B65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56BD" w14:textId="77777777" w:rsidR="003F406E" w:rsidRDefault="003F406E">
      <w:r>
        <w:separator/>
      </w:r>
    </w:p>
  </w:endnote>
  <w:endnote w:type="continuationSeparator" w:id="0">
    <w:p w14:paraId="3DFBCDED" w14:textId="77777777" w:rsidR="003F406E" w:rsidRDefault="003F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04D1" w14:textId="77777777" w:rsidR="003F406E" w:rsidRDefault="003F406E">
      <w:r>
        <w:separator/>
      </w:r>
    </w:p>
  </w:footnote>
  <w:footnote w:type="continuationSeparator" w:id="0">
    <w:p w14:paraId="4B720AA3" w14:textId="77777777" w:rsidR="003F406E" w:rsidRDefault="003F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ED7C" w14:textId="77777777" w:rsidR="004E3BA4" w:rsidRDefault="004E3BA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5B"/>
    <w:multiLevelType w:val="multilevel"/>
    <w:tmpl w:val="99FCF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70" w:hanging="45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39F790B"/>
    <w:multiLevelType w:val="multilevel"/>
    <w:tmpl w:val="D19E19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D51D2"/>
    <w:multiLevelType w:val="hybridMultilevel"/>
    <w:tmpl w:val="2B26AC62"/>
    <w:lvl w:ilvl="0" w:tplc="7FBA74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65A"/>
    <w:multiLevelType w:val="hybridMultilevel"/>
    <w:tmpl w:val="5282C462"/>
    <w:lvl w:ilvl="0" w:tplc="23280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409730">
    <w:abstractNumId w:val="2"/>
  </w:num>
  <w:num w:numId="2" w16cid:durableId="1613323096">
    <w:abstractNumId w:val="3"/>
  </w:num>
  <w:num w:numId="3" w16cid:durableId="1993438786">
    <w:abstractNumId w:val="0"/>
  </w:num>
  <w:num w:numId="4" w16cid:durableId="23574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1A"/>
    <w:rsid w:val="000575F7"/>
    <w:rsid w:val="000F29E4"/>
    <w:rsid w:val="0010311D"/>
    <w:rsid w:val="001259E9"/>
    <w:rsid w:val="00164FAC"/>
    <w:rsid w:val="00222AF2"/>
    <w:rsid w:val="002F652B"/>
    <w:rsid w:val="00337838"/>
    <w:rsid w:val="0038154B"/>
    <w:rsid w:val="003C66B3"/>
    <w:rsid w:val="003D310A"/>
    <w:rsid w:val="003F406E"/>
    <w:rsid w:val="003F4B73"/>
    <w:rsid w:val="004058F9"/>
    <w:rsid w:val="004129BE"/>
    <w:rsid w:val="00431722"/>
    <w:rsid w:val="004E3BA4"/>
    <w:rsid w:val="004F5DA2"/>
    <w:rsid w:val="004F5FEB"/>
    <w:rsid w:val="00575A01"/>
    <w:rsid w:val="00690409"/>
    <w:rsid w:val="006B401B"/>
    <w:rsid w:val="00786DF5"/>
    <w:rsid w:val="007E4DCE"/>
    <w:rsid w:val="00812F48"/>
    <w:rsid w:val="008B1407"/>
    <w:rsid w:val="008B2FE1"/>
    <w:rsid w:val="009766B8"/>
    <w:rsid w:val="00A22327"/>
    <w:rsid w:val="00AA2363"/>
    <w:rsid w:val="00AC4236"/>
    <w:rsid w:val="00C4626C"/>
    <w:rsid w:val="00C6560D"/>
    <w:rsid w:val="00D57558"/>
    <w:rsid w:val="00D934F7"/>
    <w:rsid w:val="00DB4A13"/>
    <w:rsid w:val="00E12F1A"/>
    <w:rsid w:val="00E245E9"/>
    <w:rsid w:val="00EE0079"/>
    <w:rsid w:val="00F72789"/>
    <w:rsid w:val="00F758F5"/>
    <w:rsid w:val="00F75A73"/>
    <w:rsid w:val="00F7777E"/>
    <w:rsid w:val="00F82F40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4E65"/>
  <w15:chartTrackingRefBased/>
  <w15:docId w15:val="{C655B03F-FC5D-4EAF-8FEF-816B076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1A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2F1A"/>
    <w:rPr>
      <w:color w:val="0000FF"/>
      <w:u w:val="single"/>
    </w:rPr>
  </w:style>
  <w:style w:type="character" w:customStyle="1" w:styleId="a4">
    <w:name w:val="Абзац списку Знак"/>
    <w:aliases w:val="List Paragraph (numbered (a)) Знак,Bullets Знак,Liste 1 Знак,List Paragraph1 Знак,References Знак,Numbered List Paragraph Знак,List Bullet Mary Знак,Medium Grid 1 - Accent 21 Знак,Colorful List - Accent 11 Знак,ReferencesCxSpLast Знак"/>
    <w:link w:val="a5"/>
    <w:uiPriority w:val="34"/>
    <w:qFormat/>
    <w:locked/>
    <w:rsid w:val="00E1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List Paragraph (numbered (a)),Bullets,Liste 1,List Paragraph1,References,Numbered List Paragraph,List Bullet Mary,Medium Grid 1 - Accent 21,Colorful List - Accent 11,ReferencesCxSpLast,List Paragraph nowy,Texte Général,Paragraphe  revu,b1"/>
    <w:basedOn w:val="a"/>
    <w:link w:val="a4"/>
    <w:uiPriority w:val="34"/>
    <w:qFormat/>
    <w:rsid w:val="00E12F1A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.v.tolmacho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me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D.Tolmachov</dc:creator>
  <cp:keywords/>
  <dc:description/>
  <cp:lastModifiedBy>Віктор Ющенко</cp:lastModifiedBy>
  <cp:revision>5</cp:revision>
  <dcterms:created xsi:type="dcterms:W3CDTF">2025-11-03T13:24:00Z</dcterms:created>
  <dcterms:modified xsi:type="dcterms:W3CDTF">2025-11-05T15:56:00Z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d43ab0db6ef4de4a1f3545574b18d1cc096c085328d99315db884b04a7fdc7b5</vt:lpwstr>
  </property>
</Properties>
</file>