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6DB" w14:textId="77777777" w:rsidR="000169CE" w:rsidRDefault="00B628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ПОРІВНЯЛЬНА ТАБЛИЦЯ</w:t>
      </w:r>
    </w:p>
    <w:p w14:paraId="5696F54E" w14:textId="667A108C" w:rsidR="000169CE" w:rsidRDefault="00B628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до проєкту Закону України «Про внесення змін до Закону України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 xml:space="preserve">«Про забезпечення комерційного обліку природного газу» </w:t>
      </w:r>
    </w:p>
    <w:p w14:paraId="39CE3E99" w14:textId="26EC995F" w:rsidR="002C2A2A" w:rsidRDefault="002C2A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щодо перегляду термінів встановлення споживачам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  <w:r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>лічильників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65315">
        <w:rPr>
          <w:rFonts w:ascii="Times New Roman" w:eastAsia="Calibri" w:hAnsi="Times New Roman" w:cs="Times New Roman"/>
          <w:b/>
          <w:bCs/>
          <w:sz w:val="26"/>
          <w:szCs w:val="26"/>
        </w:rPr>
        <w:t>природного газу</w:t>
      </w:r>
      <w:r w:rsidR="001F7DAE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14:paraId="784D9403" w14:textId="77777777" w:rsidR="000169CE" w:rsidRPr="00373799" w:rsidRDefault="000169C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18"/>
          <w:lang w:eastAsia="ru-RU"/>
        </w:rPr>
      </w:pPr>
    </w:p>
    <w:tbl>
      <w:tblPr>
        <w:tblStyle w:val="1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7366"/>
        <w:gridCol w:w="7371"/>
      </w:tblGrid>
      <w:tr w:rsidR="000169CE" w14:paraId="0AF93007" w14:textId="77777777">
        <w:tc>
          <w:tcPr>
            <w:tcW w:w="7366" w:type="dxa"/>
          </w:tcPr>
          <w:p w14:paraId="53343FC2" w14:textId="77777777" w:rsidR="000169CE" w:rsidRDefault="000169CE">
            <w:pPr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</w:p>
          <w:p w14:paraId="167EDB4F" w14:textId="77777777" w:rsidR="000169CE" w:rsidRDefault="00B62887">
            <w:pPr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Зміст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положення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акта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законодавства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14:paraId="1BB01368" w14:textId="77777777" w:rsidR="000169CE" w:rsidRDefault="000169CE">
            <w:pPr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</w:tcPr>
          <w:p w14:paraId="4CE54EFA" w14:textId="77777777" w:rsidR="000169CE" w:rsidRDefault="000169CE">
            <w:pPr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</w:p>
          <w:p w14:paraId="1413B0A1" w14:textId="77777777" w:rsidR="000169CE" w:rsidRDefault="00B628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Зміст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відповідного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положення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проєкту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акта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26BC1DD" w14:textId="77777777" w:rsidR="000169CE" w:rsidRDefault="000169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169CE" w14:paraId="2EF01E05" w14:textId="77777777">
        <w:tc>
          <w:tcPr>
            <w:tcW w:w="14737" w:type="dxa"/>
            <w:gridSpan w:val="2"/>
          </w:tcPr>
          <w:p w14:paraId="5F9D41BF" w14:textId="5B3AEBDA" w:rsidR="000169CE" w:rsidRDefault="00B62887" w:rsidP="00373799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Закон України «Про забезпечення комерційного обліку природного газу» </w:t>
            </w:r>
          </w:p>
        </w:tc>
      </w:tr>
      <w:tr w:rsidR="000169CE" w14:paraId="01C96CF6" w14:textId="77777777">
        <w:tc>
          <w:tcPr>
            <w:tcW w:w="7366" w:type="dxa"/>
          </w:tcPr>
          <w:p w14:paraId="4EF4E4B7" w14:textId="5CF287C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Стаття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2.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запровадження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комерційного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C1D89"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обліку</w:t>
            </w:r>
            <w:proofErr w:type="spellEnd"/>
            <w:proofErr w:type="gram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природного газу</w:t>
            </w:r>
          </w:p>
          <w:p w14:paraId="23F7264F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Постачання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природного газу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здійснюється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умови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B8578C4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комерційного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обліку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14:paraId="2A76EFC4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1) для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проживає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 квартирах</w:t>
            </w:r>
            <w:proofErr w:type="gram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приватних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2FD8EFA5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будинках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у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яких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природний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газ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використовується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14:paraId="306E64AF" w14:textId="6617F068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комплексно, у тому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опалення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- з 1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8C1D89"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2012 року;</w:t>
            </w:r>
          </w:p>
          <w:p w14:paraId="16195BF4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підігріву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води та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приготування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їжі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з 1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2016 року;</w:t>
            </w:r>
          </w:p>
          <w:p w14:paraId="65E952F7" w14:textId="77777777" w:rsidR="00E3683B" w:rsidRPr="00956529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тільки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приготування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їжі</w:t>
            </w:r>
            <w:proofErr w:type="spellEnd"/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з 1 </w:t>
            </w:r>
            <w:proofErr w:type="spellStart"/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січня</w:t>
            </w:r>
            <w:proofErr w:type="spellEnd"/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2023 року</w:t>
            </w:r>
            <w:r w:rsidRPr="00A418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17819F44" w14:textId="39FFA6D8" w:rsidR="00E13BF2" w:rsidRDefault="00E3683B" w:rsidP="00383C4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368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…</w:t>
            </w:r>
          </w:p>
        </w:tc>
        <w:tc>
          <w:tcPr>
            <w:tcW w:w="7371" w:type="dxa"/>
          </w:tcPr>
          <w:p w14:paraId="3CAAE8DF" w14:textId="34B47CF0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Стаття 2. Організація роботи із запровадження комерційного обліку природного газу</w:t>
            </w:r>
          </w:p>
          <w:p w14:paraId="03B4971F" w14:textId="77777777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1. Постачання природного газу здійснюється за умови його </w:t>
            </w:r>
          </w:p>
          <w:p w14:paraId="42162726" w14:textId="77777777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комерційного обліку:</w:t>
            </w:r>
          </w:p>
          <w:p w14:paraId="66E8C10F" w14:textId="77777777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1) для населення, що проживає у квартирах та приватних </w:t>
            </w:r>
          </w:p>
          <w:p w14:paraId="0A4337A4" w14:textId="77777777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будинках, у яких природний газ використовується:</w:t>
            </w:r>
          </w:p>
          <w:p w14:paraId="4FBA443A" w14:textId="164B696B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комплексно, у тому числі для опалення, - з 1 січня </w:t>
            </w:r>
            <w:r w:rsidR="008C1D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2012 року;</w:t>
            </w:r>
          </w:p>
          <w:p w14:paraId="37D84102" w14:textId="77777777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для підігріву води та приготування їжі - з 1 січня 2016 року;</w:t>
            </w:r>
          </w:p>
          <w:p w14:paraId="7E42BEB1" w14:textId="2F486518" w:rsidR="00E3683B" w:rsidRPr="00E3683B" w:rsidRDefault="00E3683B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тільки для приготування їжі </w:t>
            </w:r>
            <w:r w:rsidR="007A0E9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C72BA">
              <w:t xml:space="preserve"> 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через 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сім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рок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ів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з дня припинення або скасування воєнного стану</w:t>
            </w: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14:paraId="7EB1B067" w14:textId="6EC2FCA3" w:rsidR="00E3683B" w:rsidRPr="00373799" w:rsidRDefault="00E3683B" w:rsidP="00373799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368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</w:tc>
      </w:tr>
      <w:tr w:rsidR="003C1B50" w14:paraId="15E3DDD8" w14:textId="77777777">
        <w:tc>
          <w:tcPr>
            <w:tcW w:w="7366" w:type="dxa"/>
          </w:tcPr>
          <w:p w14:paraId="204B5190" w14:textId="77777777" w:rsidR="003C1B50" w:rsidRPr="00956529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Стаття 5. Відповідальність споживачів природного газу </w:t>
            </w:r>
          </w:p>
          <w:p w14:paraId="7789BC39" w14:textId="77777777" w:rsidR="00B77653" w:rsidRPr="00956529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 разі відмови населення від встановлення суб'єктами господарювання, що здійснюють розподіл природного газу на відповідній території, лічильників газу розподіл природного газу припиняється населенню, що проживає у квартирах та приватних будинках, в яких газ використовується: </w:t>
            </w:r>
          </w:p>
          <w:p w14:paraId="4BD475B8" w14:textId="77777777" w:rsidR="00EA2D88" w:rsidRPr="00956529" w:rsidRDefault="00EA2D88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14:paraId="71BD6DD8" w14:textId="77777777" w:rsidR="00B77653" w:rsidRPr="00956529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комплексно, у тому числі для опалення, - з 1 січня 2012 року; </w:t>
            </w:r>
          </w:p>
          <w:p w14:paraId="2C40077B" w14:textId="77777777" w:rsidR="00B77653" w:rsidRPr="00956529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56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підігріву води та приготування їжі - з 1 січня 2016 року</w:t>
            </w:r>
            <w:r w:rsidRPr="00956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; </w:t>
            </w:r>
          </w:p>
          <w:p w14:paraId="7547E59A" w14:textId="0B2BD967" w:rsidR="003C1B50" w:rsidRPr="00A4186D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 для приготування їжі</w:t>
            </w:r>
            <w:r w:rsidRPr="00956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</w:t>
            </w:r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 1 січня 2023 року.</w:t>
            </w:r>
          </w:p>
          <w:p w14:paraId="0847B3A3" w14:textId="77777777" w:rsidR="00EA2D88" w:rsidRPr="00A4186D" w:rsidRDefault="00EA2D88" w:rsidP="0044140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8BC501C" w14:textId="011B8484" w:rsidR="0044140B" w:rsidRPr="00A4186D" w:rsidRDefault="0044140B" w:rsidP="0044140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Норма відсутня </w:t>
            </w:r>
          </w:p>
          <w:p w14:paraId="0435A309" w14:textId="77777777" w:rsidR="0044140B" w:rsidRPr="00E13BF2" w:rsidRDefault="0044140B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48"/>
                <w:szCs w:val="48"/>
                <w:lang w:eastAsia="ru-RU"/>
              </w:rPr>
            </w:pPr>
          </w:p>
          <w:p w14:paraId="74CB5A82" w14:textId="77777777" w:rsidR="00EA2D88" w:rsidRDefault="00EA2D88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492D4BB" w14:textId="70F74184" w:rsidR="003C1B50" w:rsidRPr="003C1B50" w:rsidRDefault="003C1B50" w:rsidP="00E3683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371" w:type="dxa"/>
          </w:tcPr>
          <w:p w14:paraId="749D1067" w14:textId="77777777" w:rsidR="003C1B50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C1B5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Стаття 5. Відповідальність споживачів природного газу</w:t>
            </w:r>
          </w:p>
          <w:p w14:paraId="797C7891" w14:textId="366F56A9" w:rsidR="003C1B50" w:rsidRDefault="003C1B50" w:rsidP="00EA2D88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C1B5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1.</w:t>
            </w:r>
            <w:r w:rsidR="005C72B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C72BA" w:rsidRPr="005C72BA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У разі відмови населення від встановлення суб'єктами господарювання, що здійснюють розподіл природного газу на відповідній території, лічильників газу розподіл природного газу припиняється населенню, що проживає у квартирах та приватних будинках, в яких газ використовується</w:t>
            </w:r>
            <w:r w:rsidRPr="003C1B5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14:paraId="542349EE" w14:textId="77777777" w:rsidR="00B77653" w:rsidRDefault="00775DD6" w:rsidP="00EA2D88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комплексно, у тому числі для опалення, - з 1 січня </w:t>
            </w:r>
            <w:r w:rsidR="008C1D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2012 року; </w:t>
            </w:r>
          </w:p>
          <w:p w14:paraId="4719D068" w14:textId="77777777" w:rsidR="00B77653" w:rsidRDefault="00775DD6" w:rsidP="00EA2D88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для підігріву води та приготування їжі - з 1 січня 2016 року; </w:t>
            </w:r>
          </w:p>
          <w:p w14:paraId="3E516DBD" w14:textId="70FDA239" w:rsidR="00B77653" w:rsidRDefault="00775DD6" w:rsidP="00EA2D88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тільки для приготування їжі - </w:t>
            </w:r>
            <w:r w:rsidR="007A0E9A" w:rsidRPr="007A0E9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C72BA">
              <w:t xml:space="preserve"> 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через 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сім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ро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ків</w:t>
            </w:r>
            <w:r w:rsidR="005C72BA" w:rsidRPr="005C72BA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з дня припинення або скасування воєнного стану</w:t>
            </w: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14:paraId="55118D25" w14:textId="52383936" w:rsidR="00370776" w:rsidRPr="00370776" w:rsidRDefault="00370776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199168927"/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Норми цієї частини не розповсюджу</w:t>
            </w:r>
            <w:r w:rsidR="002F1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ться на території на яких ведуться активні бойові дії або тимчасово окупованих </w:t>
            </w:r>
            <w:r w:rsidR="0073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осійською </w:t>
            </w:r>
            <w:r w:rsidR="0073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едерацією, відповідно до переліку, затвердженого центральн</w:t>
            </w:r>
            <w:r w:rsidR="00B82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</w:t>
            </w:r>
            <w:r w:rsidR="00B82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виконавчої влади, що забезпечує формування та реалізує державну політику з питань тимчасово окупованої </w:t>
            </w:r>
            <w:r w:rsidR="0073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осійською </w:t>
            </w:r>
            <w:r w:rsidR="007377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3707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едерацією території України.</w:t>
            </w:r>
          </w:p>
          <w:bookmarkEnd w:id="0"/>
          <w:p w14:paraId="6FF7F0F5" w14:textId="52323789" w:rsidR="00775DD6" w:rsidRPr="00E3683B" w:rsidRDefault="00775DD6" w:rsidP="00E3683B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5DD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</w:tc>
      </w:tr>
      <w:tr w:rsidR="00594422" w14:paraId="1D184FF7" w14:textId="77777777">
        <w:tc>
          <w:tcPr>
            <w:tcW w:w="7366" w:type="dxa"/>
          </w:tcPr>
          <w:p w14:paraId="77E59086" w14:textId="3F872A9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Стаття 6. Обов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язки та відповідальність суб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єктів 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господарювання, що здійснюють розподіл природного газу на відповідній території</w:t>
            </w:r>
          </w:p>
          <w:p w14:paraId="6E9C19B4" w14:textId="796A5F9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Суб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єкти господарювання, що здійснюють розподіл </w:t>
            </w:r>
            <w:r w:rsidR="00B7765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природного газу на відповідній території, зобов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язані:</w:t>
            </w:r>
          </w:p>
          <w:p w14:paraId="7593096C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забезпечити встановлення лічильників газу:</w:t>
            </w:r>
          </w:p>
          <w:p w14:paraId="5A846F94" w14:textId="220336A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для населення, що проживає у квартирах та приватних </w:t>
            </w:r>
            <w:r w:rsidR="00B77653"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будинках, в яких газ використовується:</w:t>
            </w:r>
          </w:p>
          <w:p w14:paraId="52C75EA0" w14:textId="66EA8693" w:rsidR="00594422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комплексно, у тому числі для опалення, - до 1 січня 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року;</w:t>
            </w:r>
          </w:p>
          <w:p w14:paraId="052BB8E1" w14:textId="77777777" w:rsidR="00354289" w:rsidRPr="00354289" w:rsidRDefault="00354289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60E1F" w14:textId="4E399E9A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підігріву води та приготування їжі - до 1 січня </w:t>
            </w:r>
            <w:r w:rsidR="00DB51E3" w:rsidRPr="003542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року;</w:t>
            </w:r>
          </w:p>
          <w:p w14:paraId="42D8879D" w14:textId="77777777" w:rsidR="00594422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тільки для приготування їжі </w:t>
            </w:r>
            <w:r w:rsidRPr="003542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 1 січня 2023 року.</w:t>
            </w:r>
          </w:p>
          <w:p w14:paraId="7D80C0D4" w14:textId="77777777" w:rsidR="00354289" w:rsidRPr="00354289" w:rsidRDefault="00354289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0DF224" w14:textId="4962E44A" w:rsidR="0044140B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14:paraId="6ED95BF7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припинити розподіл природного газу споживачам, які </w:t>
            </w:r>
          </w:p>
          <w:p w14:paraId="10C6E62B" w14:textId="5DA3CE50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 природний газ без його комерційного обліку, у разі відмови таких споживачів від встановлення лічильників газу, а саме:</w:t>
            </w:r>
          </w:p>
          <w:p w14:paraId="4B91B5BC" w14:textId="77777777" w:rsidR="0044140B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для населення, що проживає у квартирах та приватних будинках, в яких газ використовується: </w:t>
            </w:r>
          </w:p>
          <w:p w14:paraId="01F3E641" w14:textId="77777777" w:rsidR="0044140B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комплексно, у тому числі для опалення, - з 1 січня 2012 року; </w:t>
            </w:r>
          </w:p>
          <w:p w14:paraId="7A5C2640" w14:textId="77777777" w:rsidR="0044140B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підігріву води та приготування їжі - з 1 січня 2016 року; </w:t>
            </w:r>
          </w:p>
          <w:p w14:paraId="1E964C94" w14:textId="77777777" w:rsidR="00594422" w:rsidRPr="00A4186D" w:rsidRDefault="00594422" w:rsidP="00383C4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тільки для приготування їжі - </w:t>
            </w:r>
            <w:r w:rsidRPr="00A418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 1 січня 2023 року</w:t>
            </w:r>
            <w:r w:rsidRPr="00A41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24C5A3C3" w14:textId="034C80D0" w:rsidR="005C72BA" w:rsidRPr="00354289" w:rsidRDefault="005C72BA" w:rsidP="00383C4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371" w:type="dxa"/>
          </w:tcPr>
          <w:p w14:paraId="626CF950" w14:textId="7CD7B85F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Стаття 6. Обов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’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язки та відповідальність суб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’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єктів 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господарювання, що здійснюють розподіл природного газу на відповідній території</w:t>
            </w:r>
          </w:p>
          <w:p w14:paraId="261E45ED" w14:textId="2D152232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1. Суб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’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єкти господарювання, що здійснюють розподіл 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природного газу на відповідній території, зобов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’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язані:</w:t>
            </w:r>
          </w:p>
          <w:p w14:paraId="726D66EB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1) забезпечити встановлення лічильників газу:</w:t>
            </w:r>
          </w:p>
          <w:p w14:paraId="6A122CB2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а) для населення, що проживає у квартирах та приватних </w:t>
            </w:r>
          </w:p>
          <w:p w14:paraId="56499516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будинках, в яких газ використовується:</w:t>
            </w:r>
          </w:p>
          <w:p w14:paraId="125AD60C" w14:textId="7B86081C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комплексно, у тому числі для опалення, - до 1 січня 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br/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2012 року;</w:t>
            </w:r>
          </w:p>
          <w:p w14:paraId="41D24268" w14:textId="5FF2210B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для підігріву води та приготування їжі - до 1 січня </w:t>
            </w:r>
            <w:r w:rsidR="00DB51E3"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br/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2016 року;</w:t>
            </w:r>
          </w:p>
          <w:p w14:paraId="3A4A6487" w14:textId="38E1F81E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тільки для приготування їжі - </w:t>
            </w:r>
            <w:r w:rsidR="007A0E9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C72BA" w:rsidRPr="00354289">
              <w:t xml:space="preserve"> 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через 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сім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рок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ів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з дня припинення або скасування воєнного стану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09226531" w14:textId="385C1BBF" w:rsidR="0044140B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  <w:p w14:paraId="2828BD26" w14:textId="77777777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2) припинити розподіл природного газу споживачам, які </w:t>
            </w:r>
          </w:p>
          <w:p w14:paraId="6EF8F9AD" w14:textId="54A83794" w:rsidR="00594422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використовують природний газ без його комерційного обліку, у разі відмови таких споживачів від встановлення лічильників газу, а саме:</w:t>
            </w:r>
          </w:p>
          <w:p w14:paraId="4B80A8F5" w14:textId="77777777" w:rsidR="00DB51E3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а) для населення, що проживає у квартирах та приватних будинках, в яких газ використовується: </w:t>
            </w:r>
          </w:p>
          <w:p w14:paraId="76A844F6" w14:textId="77777777" w:rsidR="00DB51E3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комплексно, у тому числі для опалення, - з 1 січня 2012 року; </w:t>
            </w:r>
          </w:p>
          <w:p w14:paraId="020C2F0D" w14:textId="77777777" w:rsidR="00DB51E3" w:rsidRPr="00354289" w:rsidRDefault="00594422" w:rsidP="00594422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для підігріву води та приготування їжі - з 1 січня 2016 року; </w:t>
            </w:r>
          </w:p>
          <w:p w14:paraId="0E7236C4" w14:textId="2265B9D5" w:rsidR="0073772C" w:rsidRPr="00354289" w:rsidRDefault="00594422" w:rsidP="00383C48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тільки для приготування їжі - 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через 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сім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рок</w:t>
            </w:r>
            <w:r w:rsidR="009E091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ів</w:t>
            </w:r>
            <w:r w:rsidR="005C72BA" w:rsidRPr="0035428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з дня припинення або скасування воєнного стану</w:t>
            </w: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14:paraId="4D284628" w14:textId="01A47393" w:rsidR="005C72BA" w:rsidRPr="00354289" w:rsidRDefault="005C72BA" w:rsidP="00383C48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354289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</w:tc>
      </w:tr>
    </w:tbl>
    <w:p w14:paraId="001E0527" w14:textId="77777777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2CF31D" w14:textId="7FC33D92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Директорату</w:t>
      </w:r>
    </w:p>
    <w:p w14:paraId="5D77735E" w14:textId="77777777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нафтогазового комплексу та розвитку</w:t>
      </w:r>
    </w:p>
    <w:p w14:paraId="4A91D7E1" w14:textId="77777777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ринків нафти, природного газу </w:t>
      </w:r>
    </w:p>
    <w:p w14:paraId="5813C0CF" w14:textId="77777777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 нафтопродуктів  </w:t>
      </w:r>
    </w:p>
    <w:p w14:paraId="08D89886" w14:textId="77777777" w:rsidR="00DD1382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Міністерства енергетики України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Ганна ЛІГУН</w:t>
      </w:r>
    </w:p>
    <w:p w14:paraId="68D5C1D9" w14:textId="77777777" w:rsidR="00DD1382" w:rsidRPr="00354289" w:rsidRDefault="00DD1382" w:rsidP="00DD1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C31088" w14:textId="71706442" w:rsidR="00EA2D88" w:rsidRPr="00DD1382" w:rsidRDefault="00DD1382" w:rsidP="00DD1382">
      <w:pPr>
        <w:spacing w:before="120" w:after="0" w:line="24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color w:val="333333"/>
          <w:shd w:val="clear" w:color="auto" w:fill="FFFFFF"/>
        </w:rPr>
        <w:t>___ ____________</w:t>
      </w:r>
      <w:r>
        <w:rPr>
          <w:rFonts w:ascii="Times New Roman" w:hAnsi="Times New Roman"/>
          <w:spacing w:val="-1"/>
          <w:sz w:val="28"/>
          <w:szCs w:val="28"/>
        </w:rPr>
        <w:t>202</w:t>
      </w:r>
      <w:r>
        <w:rPr>
          <w:rFonts w:ascii="Times New Roman" w:hAnsi="Times New Roman"/>
          <w:spacing w:val="-1"/>
          <w:sz w:val="28"/>
          <w:szCs w:val="28"/>
        </w:rPr>
        <w:t>6</w:t>
      </w:r>
      <w:r>
        <w:rPr>
          <w:rFonts w:ascii="Times New Roman" w:hAnsi="Times New Roman"/>
          <w:spacing w:val="-1"/>
          <w:sz w:val="28"/>
          <w:szCs w:val="28"/>
        </w:rPr>
        <w:t xml:space="preserve"> р.</w:t>
      </w:r>
    </w:p>
    <w:sectPr w:rsidR="00EA2D88" w:rsidRPr="00DD1382" w:rsidSect="00DD1382">
      <w:headerReference w:type="default" r:id="rId8"/>
      <w:pgSz w:w="16838" w:h="11906" w:orient="landscape"/>
      <w:pgMar w:top="284" w:right="1418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C9B7" w14:textId="77777777" w:rsidR="003D6C3E" w:rsidRDefault="003D6C3E">
      <w:pPr>
        <w:spacing w:after="0" w:line="240" w:lineRule="auto"/>
      </w:pPr>
      <w:r>
        <w:separator/>
      </w:r>
    </w:p>
  </w:endnote>
  <w:endnote w:type="continuationSeparator" w:id="0">
    <w:p w14:paraId="11D67649" w14:textId="77777777" w:rsidR="003D6C3E" w:rsidRDefault="003D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E903" w14:textId="77777777" w:rsidR="003D6C3E" w:rsidRDefault="003D6C3E">
      <w:pPr>
        <w:spacing w:after="0" w:line="240" w:lineRule="auto"/>
      </w:pPr>
      <w:r>
        <w:separator/>
      </w:r>
    </w:p>
  </w:footnote>
  <w:footnote w:type="continuationSeparator" w:id="0">
    <w:p w14:paraId="4F4F4649" w14:textId="77777777" w:rsidR="003D6C3E" w:rsidRDefault="003D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178171"/>
      <w:docPartObj>
        <w:docPartGallery w:val="Page Numbers (Top of Page)"/>
        <w:docPartUnique/>
      </w:docPartObj>
    </w:sdtPr>
    <w:sdtEndPr/>
    <w:sdtContent>
      <w:p w14:paraId="56137EB5" w14:textId="77777777" w:rsidR="000169CE" w:rsidRDefault="00B628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F0DBFE" w14:textId="77777777" w:rsidR="000169CE" w:rsidRDefault="000169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7AD"/>
    <w:multiLevelType w:val="hybridMultilevel"/>
    <w:tmpl w:val="F5D0F492"/>
    <w:lvl w:ilvl="0" w:tplc="22A4474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29790F"/>
    <w:multiLevelType w:val="hybridMultilevel"/>
    <w:tmpl w:val="7C949F82"/>
    <w:lvl w:ilvl="0" w:tplc="713EF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74920"/>
    <w:multiLevelType w:val="hybridMultilevel"/>
    <w:tmpl w:val="424EF688"/>
    <w:lvl w:ilvl="0" w:tplc="B0229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8B2D9F"/>
    <w:multiLevelType w:val="hybridMultilevel"/>
    <w:tmpl w:val="67DA87F0"/>
    <w:lvl w:ilvl="0" w:tplc="61321E08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43148D"/>
    <w:multiLevelType w:val="hybridMultilevel"/>
    <w:tmpl w:val="D6564A1A"/>
    <w:lvl w:ilvl="0" w:tplc="8C842F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90717535">
    <w:abstractNumId w:val="3"/>
  </w:num>
  <w:num w:numId="2" w16cid:durableId="194738899">
    <w:abstractNumId w:val="0"/>
  </w:num>
  <w:num w:numId="3" w16cid:durableId="55445708">
    <w:abstractNumId w:val="1"/>
  </w:num>
  <w:num w:numId="4" w16cid:durableId="2055155432">
    <w:abstractNumId w:val="2"/>
  </w:num>
  <w:num w:numId="5" w16cid:durableId="56198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221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CE"/>
    <w:rsid w:val="000169CE"/>
    <w:rsid w:val="00062122"/>
    <w:rsid w:val="000B31F4"/>
    <w:rsid w:val="000B4B63"/>
    <w:rsid w:val="000C5E3F"/>
    <w:rsid w:val="001134A4"/>
    <w:rsid w:val="00166138"/>
    <w:rsid w:val="001736B9"/>
    <w:rsid w:val="001962C2"/>
    <w:rsid w:val="001C6258"/>
    <w:rsid w:val="001F7DAE"/>
    <w:rsid w:val="00260CA7"/>
    <w:rsid w:val="002C2A2A"/>
    <w:rsid w:val="002D25CD"/>
    <w:rsid w:val="002F1378"/>
    <w:rsid w:val="00330C13"/>
    <w:rsid w:val="00354289"/>
    <w:rsid w:val="00370776"/>
    <w:rsid w:val="00373799"/>
    <w:rsid w:val="003777DC"/>
    <w:rsid w:val="00383C48"/>
    <w:rsid w:val="003A4E9F"/>
    <w:rsid w:val="003C1B50"/>
    <w:rsid w:val="003C3101"/>
    <w:rsid w:val="003D6C3E"/>
    <w:rsid w:val="004101C6"/>
    <w:rsid w:val="0042300C"/>
    <w:rsid w:val="00425BB4"/>
    <w:rsid w:val="0042637A"/>
    <w:rsid w:val="0044140B"/>
    <w:rsid w:val="0044646A"/>
    <w:rsid w:val="00484B98"/>
    <w:rsid w:val="004A14C9"/>
    <w:rsid w:val="00513A52"/>
    <w:rsid w:val="00542E3A"/>
    <w:rsid w:val="00594422"/>
    <w:rsid w:val="005C72BA"/>
    <w:rsid w:val="005E3B04"/>
    <w:rsid w:val="00627A99"/>
    <w:rsid w:val="00657642"/>
    <w:rsid w:val="006606BD"/>
    <w:rsid w:val="00672E2E"/>
    <w:rsid w:val="0073772C"/>
    <w:rsid w:val="0077290A"/>
    <w:rsid w:val="00775DD6"/>
    <w:rsid w:val="00790869"/>
    <w:rsid w:val="007959B5"/>
    <w:rsid w:val="007A0E9A"/>
    <w:rsid w:val="007A3A1F"/>
    <w:rsid w:val="007B0800"/>
    <w:rsid w:val="007C39DE"/>
    <w:rsid w:val="00800620"/>
    <w:rsid w:val="008679E5"/>
    <w:rsid w:val="008C1D89"/>
    <w:rsid w:val="00916295"/>
    <w:rsid w:val="00956529"/>
    <w:rsid w:val="009C6A3A"/>
    <w:rsid w:val="009D45D6"/>
    <w:rsid w:val="009E0912"/>
    <w:rsid w:val="009E5C1A"/>
    <w:rsid w:val="00A4186D"/>
    <w:rsid w:val="00A745F3"/>
    <w:rsid w:val="00B004F4"/>
    <w:rsid w:val="00B029EA"/>
    <w:rsid w:val="00B42858"/>
    <w:rsid w:val="00B505EB"/>
    <w:rsid w:val="00B62887"/>
    <w:rsid w:val="00B77653"/>
    <w:rsid w:val="00B82B57"/>
    <w:rsid w:val="00B86F5B"/>
    <w:rsid w:val="00BB4C61"/>
    <w:rsid w:val="00BE2CA3"/>
    <w:rsid w:val="00C441D6"/>
    <w:rsid w:val="00C50355"/>
    <w:rsid w:val="00CC3239"/>
    <w:rsid w:val="00CE230A"/>
    <w:rsid w:val="00D25EE5"/>
    <w:rsid w:val="00DA6491"/>
    <w:rsid w:val="00DB51E3"/>
    <w:rsid w:val="00DB6C33"/>
    <w:rsid w:val="00DD1382"/>
    <w:rsid w:val="00E10752"/>
    <w:rsid w:val="00E13418"/>
    <w:rsid w:val="00E13BF2"/>
    <w:rsid w:val="00E3683B"/>
    <w:rsid w:val="00E61F19"/>
    <w:rsid w:val="00E63719"/>
    <w:rsid w:val="00EA2D88"/>
    <w:rsid w:val="00F5357D"/>
    <w:rsid w:val="00F818C5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BAA5"/>
  <w15:docId w15:val="{05315EDF-6C12-4158-B148-BE024D9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 w:cs="Times New Roman"/>
      <w:sz w:val="28"/>
      <w:szCs w:val="24"/>
      <w:lang w:val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</w:style>
  <w:style w:type="table" w:customStyle="1" w:styleId="1">
    <w:name w:val="Сітка таблиці1"/>
    <w:basedOn w:val="a1"/>
    <w:next w:val="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6"/>
      <w:szCs w:val="26"/>
      <w:lang w:eastAsia="ru-RU"/>
    </w:rPr>
  </w:style>
  <w:style w:type="character" w:styleId="ac">
    <w:name w:val="Hyperlink"/>
    <w:uiPriority w:val="99"/>
    <w:rPr>
      <w:color w:val="0000FF"/>
      <w:u w:val="single"/>
    </w:rPr>
  </w:style>
  <w:style w:type="table" w:customStyle="1" w:styleId="12">
    <w:name w:val="Сітка таблиці1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ітка таблиці2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ітка таблиці12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ітка таблиці21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ітка таблиці12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ітка таблиці22"/>
    <w:basedOn w:val="a1"/>
    <w:next w:val="a5"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6">
    <w:name w:val="rvts46"/>
    <w:basedOn w:val="a0"/>
  </w:style>
  <w:style w:type="paragraph" w:customStyle="1" w:styleId="ad">
    <w:name w:val="Назва документа"/>
    <w:basedOn w:val="a"/>
    <w:next w:val="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0">
    <w:name w:val="Звичайний1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</w:style>
  <w:style w:type="paragraph" w:customStyle="1" w:styleId="ae">
    <w:name w:val="Нормальний текст"/>
    <w:basedOn w:val="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8081-6EAD-405B-B910-2EB77723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3303</Words>
  <Characters>1884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Тимошик Антоніна Анатоліївна</dc:creator>
  <cp:lastModifiedBy>Рамазанов В.А.</cp:lastModifiedBy>
  <cp:revision>64</cp:revision>
  <cp:lastPrinted>2025-07-22T11:24:00Z</cp:lastPrinted>
  <dcterms:created xsi:type="dcterms:W3CDTF">2023-06-20T12:16:00Z</dcterms:created>
  <dcterms:modified xsi:type="dcterms:W3CDTF">2026-01-12T11:36:00Z</dcterms:modified>
</cp:coreProperties>
</file>