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12049" w:firstLine="11"/>
        <w:rPr>
          <w:rFonts w:ascii="Times New Roman" w:hAnsi="Times New Roman" w:cs="Times New Roman"/>
          <w:b/>
          <w:sz w:val="20"/>
          <w:szCs w:val="20"/>
        </w:rPr>
      </w:pPr>
      <w:r>
        <w:rPr>
          <w:rFonts w:ascii="Times New Roman" w:hAnsi="Times New Roman" w:cs="Times New Roman"/>
          <w:b/>
          <w:sz w:val="20"/>
          <w:szCs w:val="20"/>
        </w:rPr>
        <w:t xml:space="preserve">    Додаток № 1до листа Мінфіну </w:t>
      </w:r>
    </w:p>
    <w:p>
      <w:pPr>
        <w:spacing w:after="0" w:line="240" w:lineRule="auto"/>
        <w:ind w:left="12049" w:firstLine="11"/>
        <w:rPr>
          <w:rFonts w:ascii="Times New Roman" w:hAnsi="Times New Roman" w:cs="Times New Roman"/>
          <w:b/>
          <w:sz w:val="20"/>
          <w:szCs w:val="20"/>
        </w:rPr>
      </w:pPr>
      <w:r>
        <w:rPr>
          <w:rFonts w:ascii="Times New Roman" w:hAnsi="Times New Roman" w:cs="Times New Roman"/>
          <w:b/>
          <w:sz w:val="20"/>
          <w:szCs w:val="20"/>
        </w:rPr>
        <w:t xml:space="preserve">  від 28.01.2021 року № 04140-15-2/2577</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ІНФОРМАЦІЯ</w:t>
      </w:r>
    </w:p>
    <w:p>
      <w:pPr>
        <w:spacing w:after="0"/>
        <w:jc w:val="center"/>
        <w:rPr>
          <w:rFonts w:ascii="Times New Roman" w:hAnsi="Times New Roman" w:cs="Times New Roman"/>
          <w:b/>
          <w:sz w:val="24"/>
          <w:szCs w:val="24"/>
        </w:rPr>
      </w:pPr>
      <w:r>
        <w:rPr>
          <w:rFonts w:ascii="Times New Roman" w:hAnsi="Times New Roman" w:cs="Times New Roman"/>
          <w:b/>
          <w:sz w:val="24"/>
          <w:szCs w:val="24"/>
        </w:rPr>
        <w:t>(240) Міністерства енергетики України</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(КВК) (найменування головного розпорядника коштів державного бюджету)</w:t>
      </w:r>
    </w:p>
    <w:p>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про досягнення запланованої мети,  завдань та результативних показників бюджетних програм, а також  цілей державної політики </w:t>
      </w:r>
    </w:p>
    <w:p>
      <w:pPr>
        <w:ind w:left="284"/>
        <w:jc w:val="center"/>
        <w:rPr>
          <w:rFonts w:ascii="Times New Roman" w:hAnsi="Times New Roman" w:cs="Times New Roman"/>
          <w:b/>
          <w:sz w:val="24"/>
          <w:szCs w:val="24"/>
        </w:rPr>
      </w:pPr>
      <w:r>
        <w:rPr>
          <w:rFonts w:ascii="Times New Roman" w:hAnsi="Times New Roman" w:cs="Times New Roman"/>
          <w:b/>
          <w:sz w:val="24"/>
          <w:szCs w:val="24"/>
        </w:rPr>
        <w:t>за результатами 2020 року</w:t>
      </w:r>
    </w:p>
    <w:p>
      <w:pPr>
        <w:pStyle w:val="3"/>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1. Видатки та надання кредитів у 2018-2020 роках </w:t>
      </w:r>
    </w:p>
    <w:p>
      <w:pPr>
        <w:pStyle w:val="3"/>
        <w:tabs>
          <w:tab w:val="left" w:pos="13608"/>
          <w:tab w:val="left" w:pos="14459"/>
        </w:tabs>
        <w:spacing w:after="0" w:line="240" w:lineRule="auto"/>
        <w:ind w:right="677"/>
        <w:jc w:val="right"/>
        <w:rPr>
          <w:rFonts w:ascii="Times New Roman" w:hAnsi="Times New Roman" w:cs="Times New Roman"/>
          <w:sz w:val="24"/>
          <w:szCs w:val="24"/>
          <w:u w:val="single"/>
        </w:rPr>
      </w:pPr>
      <w:r>
        <w:rPr>
          <w:rFonts w:ascii="Times New Roman" w:hAnsi="Times New Roman" w:cs="Times New Roman"/>
          <w:sz w:val="24"/>
          <w:szCs w:val="24"/>
          <w:lang w:val="ru-RU"/>
        </w:rPr>
        <w:t xml:space="preserve">    </w:t>
      </w:r>
      <w:r>
        <w:rPr>
          <w:rFonts w:ascii="Times New Roman" w:hAnsi="Times New Roman" w:cs="Times New Roman"/>
          <w:sz w:val="24"/>
          <w:szCs w:val="24"/>
        </w:rPr>
        <w:t>тис.</w:t>
      </w:r>
      <w:r>
        <w:rPr>
          <w:rFonts w:ascii="Times New Roman" w:hAnsi="Times New Roman" w:cs="Times New Roman"/>
          <w:sz w:val="24"/>
          <w:szCs w:val="24"/>
          <w:lang w:val="en-US"/>
        </w:rPr>
        <w:t xml:space="preserve"> </w:t>
      </w:r>
      <w:r>
        <w:rPr>
          <w:rFonts w:ascii="Times New Roman" w:hAnsi="Times New Roman" w:cs="Times New Roman"/>
          <w:sz w:val="24"/>
          <w:szCs w:val="24"/>
        </w:rPr>
        <w:t>грн</w:t>
      </w:r>
    </w:p>
    <w:tbl>
      <w:tblPr>
        <w:tblStyle w:val="a4"/>
        <w:tblW w:w="15321" w:type="dxa"/>
        <w:tblInd w:w="-5" w:type="dxa"/>
        <w:tblLayout w:type="fixed"/>
        <w:tblLook w:val="04A0" w:firstRow="1" w:lastRow="0" w:firstColumn="1" w:lastColumn="0" w:noHBand="0" w:noVBand="1"/>
      </w:tblPr>
      <w:tblGrid>
        <w:gridCol w:w="5500"/>
        <w:gridCol w:w="2126"/>
        <w:gridCol w:w="1985"/>
        <w:gridCol w:w="1871"/>
        <w:gridCol w:w="1985"/>
        <w:gridCol w:w="1843"/>
        <w:gridCol w:w="11"/>
      </w:tblGrid>
      <w:tr>
        <w:trPr>
          <w:trHeight w:val="280"/>
        </w:trPr>
        <w:tc>
          <w:tcPr>
            <w:tcW w:w="5500" w:type="dxa"/>
            <w:vMerge w:val="restart"/>
          </w:tcPr>
          <w:p>
            <w:pPr>
              <w:jc w:val="center"/>
              <w:rPr>
                <w:sz w:val="24"/>
                <w:szCs w:val="24"/>
              </w:rPr>
            </w:pPr>
          </w:p>
          <w:p>
            <w:pPr>
              <w:jc w:val="center"/>
              <w:rPr>
                <w:sz w:val="24"/>
                <w:szCs w:val="24"/>
              </w:rPr>
            </w:pPr>
            <w:r>
              <w:rPr>
                <w:sz w:val="24"/>
                <w:szCs w:val="24"/>
              </w:rPr>
              <w:t>Найменування</w:t>
            </w:r>
          </w:p>
        </w:tc>
        <w:tc>
          <w:tcPr>
            <w:tcW w:w="2126" w:type="dxa"/>
            <w:vMerge w:val="restart"/>
            <w:vAlign w:val="center"/>
          </w:tcPr>
          <w:p>
            <w:pPr>
              <w:jc w:val="center"/>
              <w:rPr>
                <w:sz w:val="24"/>
                <w:szCs w:val="24"/>
              </w:rPr>
            </w:pPr>
            <w:r>
              <w:rPr>
                <w:sz w:val="24"/>
                <w:szCs w:val="24"/>
              </w:rPr>
              <w:t>2018 рік</w:t>
            </w:r>
          </w:p>
          <w:p>
            <w:pPr>
              <w:jc w:val="center"/>
              <w:rPr>
                <w:sz w:val="24"/>
                <w:szCs w:val="24"/>
              </w:rPr>
            </w:pPr>
            <w:r>
              <w:rPr>
                <w:sz w:val="24"/>
                <w:szCs w:val="24"/>
              </w:rPr>
              <w:t>звіт</w:t>
            </w:r>
          </w:p>
        </w:tc>
        <w:tc>
          <w:tcPr>
            <w:tcW w:w="1985" w:type="dxa"/>
            <w:vMerge w:val="restart"/>
            <w:vAlign w:val="center"/>
          </w:tcPr>
          <w:p>
            <w:pPr>
              <w:jc w:val="center"/>
              <w:rPr>
                <w:sz w:val="24"/>
                <w:szCs w:val="24"/>
              </w:rPr>
            </w:pPr>
            <w:r>
              <w:rPr>
                <w:sz w:val="24"/>
                <w:szCs w:val="24"/>
              </w:rPr>
              <w:t>2019 рік</w:t>
            </w:r>
          </w:p>
          <w:p>
            <w:pPr>
              <w:jc w:val="center"/>
              <w:rPr>
                <w:sz w:val="24"/>
                <w:szCs w:val="24"/>
              </w:rPr>
            </w:pPr>
            <w:r>
              <w:rPr>
                <w:sz w:val="24"/>
                <w:szCs w:val="24"/>
              </w:rPr>
              <w:t>звіт*</w:t>
            </w:r>
          </w:p>
        </w:tc>
        <w:tc>
          <w:tcPr>
            <w:tcW w:w="5710" w:type="dxa"/>
            <w:gridSpan w:val="4"/>
            <w:vAlign w:val="center"/>
          </w:tcPr>
          <w:p>
            <w:pPr>
              <w:jc w:val="center"/>
              <w:rPr>
                <w:sz w:val="24"/>
                <w:szCs w:val="24"/>
              </w:rPr>
            </w:pPr>
            <w:r>
              <w:rPr>
                <w:sz w:val="24"/>
                <w:szCs w:val="24"/>
              </w:rPr>
              <w:t xml:space="preserve">2020 рік </w:t>
            </w:r>
          </w:p>
        </w:tc>
      </w:tr>
      <w:tr>
        <w:trPr>
          <w:gridAfter w:val="1"/>
          <w:wAfter w:w="11" w:type="dxa"/>
          <w:trHeight w:val="377"/>
        </w:trPr>
        <w:tc>
          <w:tcPr>
            <w:tcW w:w="5500" w:type="dxa"/>
            <w:vMerge/>
          </w:tcPr>
          <w:p>
            <w:pPr>
              <w:jc w:val="center"/>
              <w:rPr>
                <w:sz w:val="24"/>
                <w:szCs w:val="24"/>
              </w:rPr>
            </w:pPr>
          </w:p>
        </w:tc>
        <w:tc>
          <w:tcPr>
            <w:tcW w:w="2126" w:type="dxa"/>
            <w:vMerge/>
            <w:vAlign w:val="center"/>
          </w:tcPr>
          <w:p>
            <w:pPr>
              <w:jc w:val="center"/>
              <w:rPr>
                <w:sz w:val="24"/>
                <w:szCs w:val="24"/>
              </w:rPr>
            </w:pPr>
          </w:p>
        </w:tc>
        <w:tc>
          <w:tcPr>
            <w:tcW w:w="1985" w:type="dxa"/>
            <w:vMerge/>
            <w:vAlign w:val="center"/>
          </w:tcPr>
          <w:p>
            <w:pPr>
              <w:jc w:val="center"/>
              <w:rPr>
                <w:sz w:val="24"/>
                <w:szCs w:val="24"/>
              </w:rPr>
            </w:pPr>
          </w:p>
        </w:tc>
        <w:tc>
          <w:tcPr>
            <w:tcW w:w="1871" w:type="dxa"/>
          </w:tcPr>
          <w:p>
            <w:pPr>
              <w:jc w:val="center"/>
              <w:rPr>
                <w:sz w:val="24"/>
                <w:szCs w:val="24"/>
              </w:rPr>
            </w:pPr>
          </w:p>
          <w:p>
            <w:pPr>
              <w:jc w:val="center"/>
              <w:rPr>
                <w:sz w:val="24"/>
                <w:szCs w:val="24"/>
              </w:rPr>
            </w:pPr>
            <w:r>
              <w:rPr>
                <w:sz w:val="24"/>
                <w:szCs w:val="24"/>
              </w:rPr>
              <w:t>план</w:t>
            </w:r>
          </w:p>
          <w:p>
            <w:pPr>
              <w:jc w:val="center"/>
              <w:rPr>
                <w:sz w:val="24"/>
                <w:szCs w:val="24"/>
              </w:rPr>
            </w:pPr>
            <w:r>
              <w:rPr>
                <w:sz w:val="24"/>
                <w:szCs w:val="24"/>
              </w:rPr>
              <w:t>зі змінами</w:t>
            </w:r>
          </w:p>
        </w:tc>
        <w:tc>
          <w:tcPr>
            <w:tcW w:w="1985" w:type="dxa"/>
            <w:vAlign w:val="center"/>
          </w:tcPr>
          <w:p>
            <w:pPr>
              <w:jc w:val="center"/>
              <w:rPr>
                <w:sz w:val="24"/>
                <w:szCs w:val="24"/>
              </w:rPr>
            </w:pPr>
            <w:r>
              <w:rPr>
                <w:sz w:val="24"/>
                <w:szCs w:val="24"/>
              </w:rPr>
              <w:t>звіт</w:t>
            </w:r>
          </w:p>
          <w:p>
            <w:pPr>
              <w:jc w:val="center"/>
              <w:rPr>
                <w:sz w:val="24"/>
                <w:szCs w:val="24"/>
              </w:rPr>
            </w:pPr>
          </w:p>
        </w:tc>
        <w:tc>
          <w:tcPr>
            <w:tcW w:w="1843"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gridAfter w:val="1"/>
          <w:wAfter w:w="11" w:type="dxa"/>
          <w:trHeight w:val="284"/>
        </w:trPr>
        <w:tc>
          <w:tcPr>
            <w:tcW w:w="5500" w:type="dxa"/>
            <w:vAlign w:val="center"/>
          </w:tcPr>
          <w:p>
            <w:pPr>
              <w:pStyle w:val="1"/>
              <w:jc w:val="center"/>
              <w:rPr>
                <w:lang w:val="uk-UA"/>
              </w:rPr>
            </w:pPr>
            <w:r>
              <w:rPr>
                <w:lang w:val="uk-UA"/>
              </w:rPr>
              <w:t>1</w:t>
            </w:r>
          </w:p>
        </w:tc>
        <w:tc>
          <w:tcPr>
            <w:tcW w:w="2126" w:type="dxa"/>
            <w:vAlign w:val="center"/>
          </w:tcPr>
          <w:p>
            <w:pPr>
              <w:pStyle w:val="1"/>
              <w:jc w:val="center"/>
              <w:rPr>
                <w:lang w:val="uk-UA"/>
              </w:rPr>
            </w:pPr>
            <w:r>
              <w:rPr>
                <w:lang w:val="uk-UA"/>
              </w:rPr>
              <w:t>2</w:t>
            </w:r>
          </w:p>
        </w:tc>
        <w:tc>
          <w:tcPr>
            <w:tcW w:w="1985" w:type="dxa"/>
            <w:vAlign w:val="center"/>
          </w:tcPr>
          <w:p>
            <w:pPr>
              <w:pStyle w:val="1"/>
              <w:jc w:val="center"/>
              <w:rPr>
                <w:lang w:val="uk-UA"/>
              </w:rPr>
            </w:pPr>
            <w:r>
              <w:rPr>
                <w:lang w:val="uk-UA"/>
              </w:rPr>
              <w:t>3</w:t>
            </w:r>
          </w:p>
        </w:tc>
        <w:tc>
          <w:tcPr>
            <w:tcW w:w="1871" w:type="dxa"/>
            <w:vAlign w:val="center"/>
          </w:tcPr>
          <w:p>
            <w:pPr>
              <w:pStyle w:val="1"/>
              <w:jc w:val="center"/>
              <w:rPr>
                <w:lang w:val="uk-UA"/>
              </w:rPr>
            </w:pPr>
            <w:r>
              <w:rPr>
                <w:lang w:val="uk-UA"/>
              </w:rPr>
              <w:t>4</w:t>
            </w:r>
          </w:p>
        </w:tc>
        <w:tc>
          <w:tcPr>
            <w:tcW w:w="1985" w:type="dxa"/>
            <w:vAlign w:val="center"/>
          </w:tcPr>
          <w:p>
            <w:pPr>
              <w:pStyle w:val="1"/>
              <w:jc w:val="center"/>
              <w:rPr>
                <w:lang w:val="uk-UA"/>
              </w:rPr>
            </w:pPr>
            <w:r>
              <w:rPr>
                <w:lang w:val="uk-UA"/>
              </w:rPr>
              <w:t>5</w:t>
            </w:r>
          </w:p>
        </w:tc>
        <w:tc>
          <w:tcPr>
            <w:tcW w:w="1843" w:type="dxa"/>
            <w:vAlign w:val="center"/>
          </w:tcPr>
          <w:p>
            <w:pPr>
              <w:pStyle w:val="1"/>
              <w:jc w:val="center"/>
              <w:rPr>
                <w:lang w:val="uk-UA"/>
              </w:rPr>
            </w:pPr>
            <w:r>
              <w:rPr>
                <w:lang w:val="uk-UA"/>
              </w:rPr>
              <w:t>6</w:t>
            </w:r>
          </w:p>
        </w:tc>
      </w:tr>
      <w:tr>
        <w:trPr>
          <w:gridAfter w:val="1"/>
          <w:wAfter w:w="11" w:type="dxa"/>
          <w:trHeight w:val="397"/>
        </w:trPr>
        <w:tc>
          <w:tcPr>
            <w:tcW w:w="5500" w:type="dxa"/>
            <w:vAlign w:val="bottom"/>
          </w:tcPr>
          <w:p>
            <w:pPr>
              <w:rPr>
                <w:b/>
                <w:sz w:val="24"/>
                <w:szCs w:val="24"/>
              </w:rPr>
            </w:pPr>
            <w:r>
              <w:rPr>
                <w:b/>
                <w:sz w:val="24"/>
                <w:szCs w:val="24"/>
              </w:rPr>
              <w:t>Видатки, всього</w:t>
            </w:r>
          </w:p>
        </w:tc>
        <w:tc>
          <w:tcPr>
            <w:tcW w:w="2126" w:type="dxa"/>
            <w:vAlign w:val="bottom"/>
          </w:tcPr>
          <w:p>
            <w:pPr>
              <w:jc w:val="center"/>
              <w:rPr>
                <w:b/>
                <w:sz w:val="24"/>
                <w:szCs w:val="24"/>
              </w:rPr>
            </w:pPr>
            <w:r>
              <w:rPr>
                <w:b/>
                <w:sz w:val="24"/>
                <w:szCs w:val="24"/>
              </w:rPr>
              <w:t>3 922 538,7</w:t>
            </w:r>
          </w:p>
        </w:tc>
        <w:tc>
          <w:tcPr>
            <w:tcW w:w="1985" w:type="dxa"/>
            <w:vAlign w:val="bottom"/>
          </w:tcPr>
          <w:p>
            <w:pPr>
              <w:jc w:val="center"/>
              <w:rPr>
                <w:b/>
                <w:sz w:val="24"/>
                <w:szCs w:val="24"/>
              </w:rPr>
            </w:pPr>
            <w:r>
              <w:rPr>
                <w:b/>
                <w:sz w:val="24"/>
                <w:szCs w:val="24"/>
              </w:rPr>
              <w:t>4 399 288,6</w:t>
            </w:r>
          </w:p>
        </w:tc>
        <w:tc>
          <w:tcPr>
            <w:tcW w:w="1871" w:type="dxa"/>
            <w:vAlign w:val="bottom"/>
          </w:tcPr>
          <w:p>
            <w:pPr>
              <w:jc w:val="center"/>
              <w:rPr>
                <w:b/>
                <w:sz w:val="24"/>
                <w:szCs w:val="24"/>
              </w:rPr>
            </w:pPr>
            <w:r>
              <w:rPr>
                <w:b/>
                <w:sz w:val="24"/>
                <w:szCs w:val="24"/>
              </w:rPr>
              <w:t>40 111 183,1</w:t>
            </w:r>
          </w:p>
        </w:tc>
        <w:tc>
          <w:tcPr>
            <w:tcW w:w="1985" w:type="dxa"/>
            <w:vAlign w:val="bottom"/>
          </w:tcPr>
          <w:p>
            <w:pPr>
              <w:jc w:val="center"/>
              <w:rPr>
                <w:b/>
                <w:sz w:val="24"/>
                <w:szCs w:val="24"/>
              </w:rPr>
            </w:pPr>
            <w:r>
              <w:rPr>
                <w:b/>
                <w:sz w:val="24"/>
                <w:szCs w:val="24"/>
              </w:rPr>
              <w:t>38 997 858,5</w:t>
            </w:r>
          </w:p>
        </w:tc>
        <w:tc>
          <w:tcPr>
            <w:tcW w:w="1843" w:type="dxa"/>
            <w:vAlign w:val="bottom"/>
          </w:tcPr>
          <w:p>
            <w:pPr>
              <w:jc w:val="center"/>
              <w:rPr>
                <w:b/>
                <w:sz w:val="24"/>
                <w:szCs w:val="24"/>
              </w:rPr>
            </w:pPr>
            <w:r>
              <w:rPr>
                <w:b/>
                <w:sz w:val="24"/>
                <w:szCs w:val="24"/>
              </w:rPr>
              <w:t>-1 113 324,6</w:t>
            </w:r>
          </w:p>
        </w:tc>
      </w:tr>
      <w:tr>
        <w:trPr>
          <w:gridAfter w:val="1"/>
          <w:wAfter w:w="11" w:type="dxa"/>
          <w:trHeight w:val="397"/>
        </w:trPr>
        <w:tc>
          <w:tcPr>
            <w:tcW w:w="5500" w:type="dxa"/>
            <w:vAlign w:val="bottom"/>
          </w:tcPr>
          <w:p>
            <w:pPr>
              <w:rPr>
                <w:sz w:val="24"/>
                <w:szCs w:val="24"/>
              </w:rPr>
            </w:pPr>
            <w:r>
              <w:rPr>
                <w:sz w:val="24"/>
                <w:szCs w:val="24"/>
              </w:rPr>
              <w:t>у т. ч. загальний фонд</w:t>
            </w:r>
          </w:p>
        </w:tc>
        <w:tc>
          <w:tcPr>
            <w:tcW w:w="2126" w:type="dxa"/>
            <w:vAlign w:val="bottom"/>
          </w:tcPr>
          <w:p>
            <w:pPr>
              <w:jc w:val="center"/>
              <w:rPr>
                <w:sz w:val="24"/>
                <w:szCs w:val="24"/>
              </w:rPr>
            </w:pPr>
            <w:r>
              <w:rPr>
                <w:sz w:val="24"/>
                <w:szCs w:val="24"/>
              </w:rPr>
              <w:t>2 580 791,4</w:t>
            </w:r>
          </w:p>
        </w:tc>
        <w:tc>
          <w:tcPr>
            <w:tcW w:w="1985" w:type="dxa"/>
            <w:vAlign w:val="bottom"/>
          </w:tcPr>
          <w:p>
            <w:pPr>
              <w:jc w:val="center"/>
              <w:rPr>
                <w:sz w:val="24"/>
                <w:szCs w:val="24"/>
              </w:rPr>
            </w:pPr>
            <w:r>
              <w:rPr>
                <w:sz w:val="24"/>
                <w:szCs w:val="24"/>
              </w:rPr>
              <w:t>4 083 006,4</w:t>
            </w:r>
          </w:p>
        </w:tc>
        <w:tc>
          <w:tcPr>
            <w:tcW w:w="1871" w:type="dxa"/>
            <w:vAlign w:val="bottom"/>
          </w:tcPr>
          <w:p>
            <w:pPr>
              <w:jc w:val="center"/>
              <w:rPr>
                <w:sz w:val="24"/>
                <w:szCs w:val="24"/>
              </w:rPr>
            </w:pPr>
            <w:r>
              <w:rPr>
                <w:sz w:val="24"/>
                <w:szCs w:val="24"/>
              </w:rPr>
              <w:t>5 440 013,0</w:t>
            </w:r>
          </w:p>
        </w:tc>
        <w:tc>
          <w:tcPr>
            <w:tcW w:w="1985" w:type="dxa"/>
            <w:vAlign w:val="bottom"/>
          </w:tcPr>
          <w:p>
            <w:pPr>
              <w:jc w:val="center"/>
              <w:rPr>
                <w:sz w:val="24"/>
                <w:szCs w:val="24"/>
              </w:rPr>
            </w:pPr>
            <w:r>
              <w:rPr>
                <w:sz w:val="24"/>
                <w:szCs w:val="24"/>
              </w:rPr>
              <w:t>5 176 301,2</w:t>
            </w:r>
          </w:p>
        </w:tc>
        <w:tc>
          <w:tcPr>
            <w:tcW w:w="1843" w:type="dxa"/>
            <w:vAlign w:val="bottom"/>
          </w:tcPr>
          <w:p>
            <w:pPr>
              <w:jc w:val="center"/>
              <w:rPr>
                <w:sz w:val="24"/>
                <w:szCs w:val="24"/>
              </w:rPr>
            </w:pPr>
            <w:r>
              <w:rPr>
                <w:sz w:val="24"/>
                <w:szCs w:val="24"/>
              </w:rPr>
              <w:t>-263 711,8</w:t>
            </w:r>
          </w:p>
        </w:tc>
      </w:tr>
      <w:tr>
        <w:trPr>
          <w:gridAfter w:val="1"/>
          <w:wAfter w:w="11" w:type="dxa"/>
          <w:trHeight w:val="397"/>
        </w:trPr>
        <w:tc>
          <w:tcPr>
            <w:tcW w:w="5500" w:type="dxa"/>
            <w:vAlign w:val="bottom"/>
          </w:tcPr>
          <w:p>
            <w:pPr>
              <w:rPr>
                <w:sz w:val="24"/>
                <w:szCs w:val="24"/>
                <w:lang w:val="en-US"/>
              </w:rPr>
            </w:pPr>
            <w:r>
              <w:rPr>
                <w:sz w:val="24"/>
                <w:szCs w:val="24"/>
              </w:rPr>
              <w:t xml:space="preserve">          спеціальний фонд</w:t>
            </w:r>
          </w:p>
        </w:tc>
        <w:tc>
          <w:tcPr>
            <w:tcW w:w="2126" w:type="dxa"/>
            <w:vAlign w:val="bottom"/>
          </w:tcPr>
          <w:p>
            <w:pPr>
              <w:jc w:val="center"/>
              <w:rPr>
                <w:sz w:val="24"/>
                <w:szCs w:val="24"/>
              </w:rPr>
            </w:pPr>
            <w:r>
              <w:rPr>
                <w:sz w:val="24"/>
                <w:szCs w:val="24"/>
              </w:rPr>
              <w:t>1 341 747,3</w:t>
            </w:r>
          </w:p>
        </w:tc>
        <w:tc>
          <w:tcPr>
            <w:tcW w:w="1985" w:type="dxa"/>
            <w:vAlign w:val="bottom"/>
          </w:tcPr>
          <w:p>
            <w:pPr>
              <w:jc w:val="center"/>
              <w:rPr>
                <w:sz w:val="24"/>
                <w:szCs w:val="24"/>
              </w:rPr>
            </w:pPr>
            <w:r>
              <w:rPr>
                <w:sz w:val="24"/>
                <w:szCs w:val="24"/>
              </w:rPr>
              <w:t>316 282,2</w:t>
            </w:r>
          </w:p>
        </w:tc>
        <w:tc>
          <w:tcPr>
            <w:tcW w:w="1871" w:type="dxa"/>
            <w:vAlign w:val="bottom"/>
          </w:tcPr>
          <w:p>
            <w:pPr>
              <w:jc w:val="center"/>
              <w:rPr>
                <w:sz w:val="24"/>
                <w:szCs w:val="24"/>
              </w:rPr>
            </w:pPr>
            <w:r>
              <w:rPr>
                <w:sz w:val="24"/>
                <w:szCs w:val="24"/>
              </w:rPr>
              <w:t>34 671 170,1</w:t>
            </w:r>
          </w:p>
        </w:tc>
        <w:tc>
          <w:tcPr>
            <w:tcW w:w="1985" w:type="dxa"/>
            <w:vAlign w:val="bottom"/>
          </w:tcPr>
          <w:p>
            <w:pPr>
              <w:jc w:val="center"/>
              <w:rPr>
                <w:sz w:val="24"/>
                <w:szCs w:val="24"/>
              </w:rPr>
            </w:pPr>
            <w:r>
              <w:rPr>
                <w:sz w:val="24"/>
                <w:szCs w:val="24"/>
              </w:rPr>
              <w:t>33 821 557,3</w:t>
            </w:r>
          </w:p>
        </w:tc>
        <w:tc>
          <w:tcPr>
            <w:tcW w:w="1843" w:type="dxa"/>
            <w:vAlign w:val="bottom"/>
          </w:tcPr>
          <w:p>
            <w:pPr>
              <w:jc w:val="center"/>
              <w:rPr>
                <w:sz w:val="24"/>
                <w:szCs w:val="24"/>
              </w:rPr>
            </w:pPr>
            <w:r>
              <w:rPr>
                <w:sz w:val="24"/>
                <w:szCs w:val="24"/>
              </w:rPr>
              <w:t>-849 612,8</w:t>
            </w:r>
          </w:p>
        </w:tc>
      </w:tr>
      <w:tr>
        <w:trPr>
          <w:gridAfter w:val="1"/>
          <w:wAfter w:w="11" w:type="dxa"/>
          <w:trHeight w:val="397"/>
        </w:trPr>
        <w:tc>
          <w:tcPr>
            <w:tcW w:w="5500" w:type="dxa"/>
            <w:vAlign w:val="bottom"/>
          </w:tcPr>
          <w:p>
            <w:pPr>
              <w:rPr>
                <w:b/>
                <w:sz w:val="24"/>
                <w:szCs w:val="24"/>
              </w:rPr>
            </w:pPr>
            <w:r>
              <w:rPr>
                <w:b/>
                <w:sz w:val="24"/>
                <w:szCs w:val="24"/>
              </w:rPr>
              <w:t>Надання кредитів, всього</w:t>
            </w:r>
          </w:p>
        </w:tc>
        <w:tc>
          <w:tcPr>
            <w:tcW w:w="2126" w:type="dxa"/>
            <w:vAlign w:val="bottom"/>
          </w:tcPr>
          <w:p>
            <w:pPr>
              <w:jc w:val="center"/>
              <w:rPr>
                <w:b/>
                <w:sz w:val="24"/>
                <w:szCs w:val="24"/>
              </w:rPr>
            </w:pPr>
            <w:r>
              <w:rPr>
                <w:b/>
                <w:sz w:val="24"/>
                <w:szCs w:val="24"/>
              </w:rPr>
              <w:t>1 842 881,0</w:t>
            </w:r>
          </w:p>
        </w:tc>
        <w:tc>
          <w:tcPr>
            <w:tcW w:w="1985" w:type="dxa"/>
            <w:vAlign w:val="bottom"/>
          </w:tcPr>
          <w:p>
            <w:pPr>
              <w:jc w:val="center"/>
              <w:rPr>
                <w:b/>
                <w:sz w:val="24"/>
                <w:szCs w:val="24"/>
              </w:rPr>
            </w:pPr>
            <w:r>
              <w:rPr>
                <w:b/>
                <w:sz w:val="24"/>
                <w:szCs w:val="24"/>
              </w:rPr>
              <w:t>444 311,9</w:t>
            </w:r>
          </w:p>
        </w:tc>
        <w:tc>
          <w:tcPr>
            <w:tcW w:w="1871" w:type="dxa"/>
            <w:vAlign w:val="bottom"/>
          </w:tcPr>
          <w:p>
            <w:pPr>
              <w:jc w:val="center"/>
              <w:rPr>
                <w:b/>
                <w:sz w:val="24"/>
                <w:szCs w:val="24"/>
              </w:rPr>
            </w:pPr>
            <w:r>
              <w:rPr>
                <w:b/>
                <w:sz w:val="24"/>
                <w:szCs w:val="24"/>
              </w:rPr>
              <w:t xml:space="preserve">796 779,0 </w:t>
            </w:r>
          </w:p>
        </w:tc>
        <w:tc>
          <w:tcPr>
            <w:tcW w:w="1985" w:type="dxa"/>
            <w:vAlign w:val="bottom"/>
          </w:tcPr>
          <w:p>
            <w:pPr>
              <w:jc w:val="center"/>
              <w:rPr>
                <w:b/>
                <w:sz w:val="24"/>
                <w:szCs w:val="24"/>
              </w:rPr>
            </w:pPr>
            <w:r>
              <w:rPr>
                <w:b/>
                <w:sz w:val="24"/>
                <w:szCs w:val="24"/>
              </w:rPr>
              <w:t>515 650,4</w:t>
            </w:r>
          </w:p>
        </w:tc>
        <w:tc>
          <w:tcPr>
            <w:tcW w:w="1843" w:type="dxa"/>
            <w:vAlign w:val="bottom"/>
          </w:tcPr>
          <w:p>
            <w:pPr>
              <w:jc w:val="center"/>
              <w:rPr>
                <w:b/>
                <w:sz w:val="24"/>
                <w:szCs w:val="24"/>
              </w:rPr>
            </w:pPr>
            <w:r>
              <w:rPr>
                <w:b/>
                <w:sz w:val="24"/>
                <w:szCs w:val="24"/>
              </w:rPr>
              <w:t>-281 128,6</w:t>
            </w:r>
          </w:p>
        </w:tc>
      </w:tr>
      <w:tr>
        <w:trPr>
          <w:gridAfter w:val="1"/>
          <w:wAfter w:w="11" w:type="dxa"/>
          <w:trHeight w:val="397"/>
        </w:trPr>
        <w:tc>
          <w:tcPr>
            <w:tcW w:w="5500" w:type="dxa"/>
            <w:vAlign w:val="bottom"/>
          </w:tcPr>
          <w:p>
            <w:pPr>
              <w:rPr>
                <w:b/>
                <w:sz w:val="24"/>
                <w:szCs w:val="24"/>
              </w:rPr>
            </w:pPr>
            <w:r>
              <w:rPr>
                <w:sz w:val="24"/>
                <w:szCs w:val="24"/>
              </w:rPr>
              <w:t>у т. ч. загальний фонд</w:t>
            </w:r>
          </w:p>
        </w:tc>
        <w:tc>
          <w:tcPr>
            <w:tcW w:w="2126" w:type="dxa"/>
            <w:vAlign w:val="bottom"/>
          </w:tcPr>
          <w:p>
            <w:pPr>
              <w:jc w:val="center"/>
              <w:rPr>
                <w:sz w:val="24"/>
                <w:szCs w:val="24"/>
              </w:rPr>
            </w:pPr>
            <w:r>
              <w:rPr>
                <w:sz w:val="24"/>
                <w:szCs w:val="24"/>
              </w:rPr>
              <w:t>0,0</w:t>
            </w:r>
          </w:p>
        </w:tc>
        <w:tc>
          <w:tcPr>
            <w:tcW w:w="1985" w:type="dxa"/>
            <w:vAlign w:val="bottom"/>
          </w:tcPr>
          <w:p>
            <w:pPr>
              <w:jc w:val="center"/>
              <w:rPr>
                <w:sz w:val="24"/>
                <w:szCs w:val="24"/>
              </w:rPr>
            </w:pPr>
            <w:r>
              <w:rPr>
                <w:sz w:val="24"/>
                <w:szCs w:val="24"/>
              </w:rPr>
              <w:t>0,0</w:t>
            </w:r>
          </w:p>
        </w:tc>
        <w:tc>
          <w:tcPr>
            <w:tcW w:w="1871" w:type="dxa"/>
            <w:vAlign w:val="bottom"/>
          </w:tcPr>
          <w:p>
            <w:pPr>
              <w:jc w:val="center"/>
              <w:rPr>
                <w:sz w:val="24"/>
                <w:szCs w:val="24"/>
              </w:rPr>
            </w:pPr>
            <w:r>
              <w:rPr>
                <w:sz w:val="24"/>
                <w:szCs w:val="24"/>
              </w:rPr>
              <w:t>0,0</w:t>
            </w:r>
          </w:p>
        </w:tc>
        <w:tc>
          <w:tcPr>
            <w:tcW w:w="1985" w:type="dxa"/>
            <w:vAlign w:val="bottom"/>
          </w:tcPr>
          <w:p>
            <w:pPr>
              <w:jc w:val="center"/>
              <w:rPr>
                <w:sz w:val="24"/>
                <w:szCs w:val="24"/>
              </w:rPr>
            </w:pPr>
            <w:r>
              <w:rPr>
                <w:sz w:val="24"/>
                <w:szCs w:val="24"/>
              </w:rPr>
              <w:t>0,0</w:t>
            </w:r>
          </w:p>
        </w:tc>
        <w:tc>
          <w:tcPr>
            <w:tcW w:w="1843" w:type="dxa"/>
            <w:vAlign w:val="bottom"/>
          </w:tcPr>
          <w:p>
            <w:pPr>
              <w:jc w:val="center"/>
              <w:rPr>
                <w:sz w:val="24"/>
                <w:szCs w:val="24"/>
              </w:rPr>
            </w:pPr>
            <w:r>
              <w:rPr>
                <w:sz w:val="24"/>
                <w:szCs w:val="24"/>
              </w:rPr>
              <w:t>0,0</w:t>
            </w:r>
          </w:p>
        </w:tc>
      </w:tr>
      <w:tr>
        <w:trPr>
          <w:gridAfter w:val="1"/>
          <w:wAfter w:w="11" w:type="dxa"/>
          <w:trHeight w:val="397"/>
        </w:trPr>
        <w:tc>
          <w:tcPr>
            <w:tcW w:w="5500" w:type="dxa"/>
            <w:vAlign w:val="bottom"/>
          </w:tcPr>
          <w:p>
            <w:pPr>
              <w:rPr>
                <w:b/>
                <w:sz w:val="24"/>
                <w:szCs w:val="24"/>
              </w:rPr>
            </w:pPr>
            <w:r>
              <w:rPr>
                <w:sz w:val="24"/>
                <w:szCs w:val="24"/>
              </w:rPr>
              <w:t xml:space="preserve">          спеціальний фонд</w:t>
            </w:r>
          </w:p>
        </w:tc>
        <w:tc>
          <w:tcPr>
            <w:tcW w:w="2126" w:type="dxa"/>
            <w:vAlign w:val="bottom"/>
          </w:tcPr>
          <w:p>
            <w:pPr>
              <w:jc w:val="center"/>
              <w:rPr>
                <w:sz w:val="24"/>
                <w:szCs w:val="24"/>
              </w:rPr>
            </w:pPr>
            <w:r>
              <w:rPr>
                <w:sz w:val="24"/>
                <w:szCs w:val="24"/>
              </w:rPr>
              <w:t>1 842 881,0</w:t>
            </w:r>
          </w:p>
        </w:tc>
        <w:tc>
          <w:tcPr>
            <w:tcW w:w="1985" w:type="dxa"/>
            <w:vAlign w:val="bottom"/>
          </w:tcPr>
          <w:p>
            <w:pPr>
              <w:jc w:val="center"/>
              <w:rPr>
                <w:sz w:val="24"/>
                <w:szCs w:val="24"/>
              </w:rPr>
            </w:pPr>
            <w:r>
              <w:rPr>
                <w:sz w:val="24"/>
                <w:szCs w:val="24"/>
              </w:rPr>
              <w:t>444 311,9</w:t>
            </w:r>
          </w:p>
        </w:tc>
        <w:tc>
          <w:tcPr>
            <w:tcW w:w="1871" w:type="dxa"/>
            <w:vAlign w:val="bottom"/>
          </w:tcPr>
          <w:p>
            <w:pPr>
              <w:jc w:val="center"/>
              <w:rPr>
                <w:sz w:val="24"/>
                <w:szCs w:val="24"/>
              </w:rPr>
            </w:pPr>
            <w:r>
              <w:rPr>
                <w:sz w:val="24"/>
                <w:szCs w:val="24"/>
              </w:rPr>
              <w:t xml:space="preserve">796 779,0 </w:t>
            </w:r>
          </w:p>
        </w:tc>
        <w:tc>
          <w:tcPr>
            <w:tcW w:w="1985" w:type="dxa"/>
            <w:vAlign w:val="bottom"/>
          </w:tcPr>
          <w:p>
            <w:pPr>
              <w:jc w:val="center"/>
              <w:rPr>
                <w:sz w:val="24"/>
                <w:szCs w:val="24"/>
              </w:rPr>
            </w:pPr>
            <w:r>
              <w:rPr>
                <w:sz w:val="24"/>
                <w:szCs w:val="24"/>
              </w:rPr>
              <w:t>515 650,4</w:t>
            </w:r>
          </w:p>
        </w:tc>
        <w:tc>
          <w:tcPr>
            <w:tcW w:w="1843" w:type="dxa"/>
            <w:vAlign w:val="bottom"/>
          </w:tcPr>
          <w:p>
            <w:pPr>
              <w:jc w:val="center"/>
              <w:rPr>
                <w:sz w:val="24"/>
                <w:szCs w:val="24"/>
              </w:rPr>
            </w:pPr>
            <w:r>
              <w:rPr>
                <w:sz w:val="24"/>
                <w:szCs w:val="24"/>
              </w:rPr>
              <w:t>-281 128,6</w:t>
            </w:r>
          </w:p>
        </w:tc>
      </w:tr>
      <w:tr>
        <w:trPr>
          <w:gridAfter w:val="1"/>
          <w:wAfter w:w="11" w:type="dxa"/>
          <w:trHeight w:val="397"/>
        </w:trPr>
        <w:tc>
          <w:tcPr>
            <w:tcW w:w="5500" w:type="dxa"/>
            <w:vAlign w:val="bottom"/>
          </w:tcPr>
          <w:p>
            <w:pPr>
              <w:rPr>
                <w:b/>
                <w:sz w:val="24"/>
                <w:szCs w:val="24"/>
              </w:rPr>
            </w:pPr>
            <w:r>
              <w:rPr>
                <w:b/>
                <w:sz w:val="24"/>
                <w:szCs w:val="24"/>
              </w:rPr>
              <w:t xml:space="preserve">Всього видатки та надання кредитів </w:t>
            </w:r>
          </w:p>
        </w:tc>
        <w:tc>
          <w:tcPr>
            <w:tcW w:w="2126" w:type="dxa"/>
            <w:vAlign w:val="bottom"/>
          </w:tcPr>
          <w:p>
            <w:pPr>
              <w:jc w:val="center"/>
              <w:rPr>
                <w:b/>
                <w:sz w:val="24"/>
                <w:szCs w:val="24"/>
              </w:rPr>
            </w:pPr>
            <w:r>
              <w:rPr>
                <w:b/>
                <w:sz w:val="24"/>
                <w:szCs w:val="24"/>
              </w:rPr>
              <w:t>5 765 419,7</w:t>
            </w:r>
          </w:p>
        </w:tc>
        <w:tc>
          <w:tcPr>
            <w:tcW w:w="1985" w:type="dxa"/>
            <w:vAlign w:val="bottom"/>
          </w:tcPr>
          <w:p>
            <w:pPr>
              <w:jc w:val="center"/>
              <w:rPr>
                <w:b/>
                <w:sz w:val="24"/>
                <w:szCs w:val="24"/>
              </w:rPr>
            </w:pPr>
            <w:r>
              <w:rPr>
                <w:b/>
                <w:sz w:val="24"/>
                <w:szCs w:val="24"/>
              </w:rPr>
              <w:t>4 843 600,5</w:t>
            </w:r>
          </w:p>
        </w:tc>
        <w:tc>
          <w:tcPr>
            <w:tcW w:w="1871" w:type="dxa"/>
            <w:vAlign w:val="bottom"/>
          </w:tcPr>
          <w:p>
            <w:pPr>
              <w:jc w:val="center"/>
              <w:rPr>
                <w:b/>
                <w:sz w:val="24"/>
                <w:szCs w:val="24"/>
              </w:rPr>
            </w:pPr>
            <w:r>
              <w:rPr>
                <w:b/>
                <w:sz w:val="24"/>
                <w:szCs w:val="24"/>
              </w:rPr>
              <w:t>40 907 962,1</w:t>
            </w:r>
          </w:p>
        </w:tc>
        <w:tc>
          <w:tcPr>
            <w:tcW w:w="1985" w:type="dxa"/>
            <w:vAlign w:val="bottom"/>
          </w:tcPr>
          <w:p>
            <w:pPr>
              <w:jc w:val="center"/>
              <w:rPr>
                <w:b/>
                <w:sz w:val="24"/>
                <w:szCs w:val="24"/>
              </w:rPr>
            </w:pPr>
            <w:r>
              <w:rPr>
                <w:b/>
                <w:sz w:val="24"/>
                <w:szCs w:val="24"/>
              </w:rPr>
              <w:t>39 513 508,9</w:t>
            </w:r>
          </w:p>
        </w:tc>
        <w:tc>
          <w:tcPr>
            <w:tcW w:w="1843" w:type="dxa"/>
            <w:vAlign w:val="bottom"/>
          </w:tcPr>
          <w:p>
            <w:pPr>
              <w:jc w:val="center"/>
              <w:rPr>
                <w:b/>
                <w:sz w:val="24"/>
                <w:szCs w:val="24"/>
              </w:rPr>
            </w:pPr>
            <w:r>
              <w:rPr>
                <w:b/>
                <w:sz w:val="24"/>
                <w:szCs w:val="24"/>
              </w:rPr>
              <w:t>-1 394 453,2</w:t>
            </w:r>
          </w:p>
        </w:tc>
      </w:tr>
      <w:tr>
        <w:trPr>
          <w:gridAfter w:val="1"/>
          <w:wAfter w:w="11" w:type="dxa"/>
          <w:trHeight w:val="397"/>
        </w:trPr>
        <w:tc>
          <w:tcPr>
            <w:tcW w:w="5500" w:type="dxa"/>
            <w:vAlign w:val="bottom"/>
          </w:tcPr>
          <w:p>
            <w:pPr>
              <w:rPr>
                <w:sz w:val="24"/>
                <w:szCs w:val="24"/>
              </w:rPr>
            </w:pPr>
            <w:r>
              <w:rPr>
                <w:sz w:val="24"/>
                <w:szCs w:val="24"/>
              </w:rPr>
              <w:t>у т. ч. загальний фонд</w:t>
            </w:r>
          </w:p>
        </w:tc>
        <w:tc>
          <w:tcPr>
            <w:tcW w:w="2126" w:type="dxa"/>
            <w:vAlign w:val="bottom"/>
          </w:tcPr>
          <w:p>
            <w:pPr>
              <w:jc w:val="center"/>
              <w:rPr>
                <w:sz w:val="24"/>
                <w:szCs w:val="24"/>
              </w:rPr>
            </w:pPr>
            <w:r>
              <w:rPr>
                <w:sz w:val="24"/>
                <w:szCs w:val="24"/>
              </w:rPr>
              <w:t>2 580 791,4</w:t>
            </w:r>
          </w:p>
        </w:tc>
        <w:tc>
          <w:tcPr>
            <w:tcW w:w="1985" w:type="dxa"/>
            <w:vAlign w:val="bottom"/>
          </w:tcPr>
          <w:p>
            <w:pPr>
              <w:jc w:val="center"/>
              <w:rPr>
                <w:sz w:val="24"/>
                <w:szCs w:val="24"/>
              </w:rPr>
            </w:pPr>
            <w:r>
              <w:rPr>
                <w:sz w:val="24"/>
                <w:szCs w:val="24"/>
              </w:rPr>
              <w:t>4 083 006,4</w:t>
            </w:r>
          </w:p>
        </w:tc>
        <w:tc>
          <w:tcPr>
            <w:tcW w:w="1871" w:type="dxa"/>
            <w:vAlign w:val="bottom"/>
          </w:tcPr>
          <w:p>
            <w:pPr>
              <w:jc w:val="center"/>
              <w:rPr>
                <w:sz w:val="24"/>
                <w:szCs w:val="24"/>
              </w:rPr>
            </w:pPr>
            <w:r>
              <w:rPr>
                <w:sz w:val="24"/>
                <w:szCs w:val="24"/>
              </w:rPr>
              <w:t>5 440 013,0</w:t>
            </w:r>
          </w:p>
        </w:tc>
        <w:tc>
          <w:tcPr>
            <w:tcW w:w="1985" w:type="dxa"/>
            <w:vAlign w:val="bottom"/>
          </w:tcPr>
          <w:p>
            <w:pPr>
              <w:jc w:val="center"/>
              <w:rPr>
                <w:sz w:val="24"/>
                <w:szCs w:val="24"/>
              </w:rPr>
            </w:pPr>
            <w:r>
              <w:rPr>
                <w:sz w:val="24"/>
                <w:szCs w:val="24"/>
              </w:rPr>
              <w:t>5 176 301,2</w:t>
            </w:r>
          </w:p>
        </w:tc>
        <w:tc>
          <w:tcPr>
            <w:tcW w:w="1843" w:type="dxa"/>
            <w:vAlign w:val="bottom"/>
          </w:tcPr>
          <w:p>
            <w:pPr>
              <w:jc w:val="center"/>
              <w:rPr>
                <w:sz w:val="24"/>
                <w:szCs w:val="24"/>
              </w:rPr>
            </w:pPr>
            <w:r>
              <w:rPr>
                <w:sz w:val="24"/>
                <w:szCs w:val="24"/>
              </w:rPr>
              <w:t>-263 711,8</w:t>
            </w:r>
          </w:p>
        </w:tc>
      </w:tr>
      <w:tr>
        <w:trPr>
          <w:gridAfter w:val="1"/>
          <w:wAfter w:w="11" w:type="dxa"/>
          <w:trHeight w:val="397"/>
        </w:trPr>
        <w:tc>
          <w:tcPr>
            <w:tcW w:w="5500" w:type="dxa"/>
            <w:vAlign w:val="bottom"/>
          </w:tcPr>
          <w:p>
            <w:pPr>
              <w:rPr>
                <w:b/>
                <w:sz w:val="24"/>
                <w:szCs w:val="24"/>
              </w:rPr>
            </w:pPr>
            <w:r>
              <w:rPr>
                <w:sz w:val="24"/>
                <w:szCs w:val="24"/>
              </w:rPr>
              <w:t xml:space="preserve">          спеціальний фонд</w:t>
            </w:r>
          </w:p>
        </w:tc>
        <w:tc>
          <w:tcPr>
            <w:tcW w:w="2126" w:type="dxa"/>
            <w:vAlign w:val="bottom"/>
          </w:tcPr>
          <w:p>
            <w:pPr>
              <w:jc w:val="center"/>
              <w:rPr>
                <w:sz w:val="24"/>
                <w:szCs w:val="24"/>
              </w:rPr>
            </w:pPr>
            <w:r>
              <w:rPr>
                <w:sz w:val="24"/>
                <w:szCs w:val="24"/>
              </w:rPr>
              <w:t>3 184 628,3</w:t>
            </w:r>
          </w:p>
        </w:tc>
        <w:tc>
          <w:tcPr>
            <w:tcW w:w="1985" w:type="dxa"/>
            <w:vAlign w:val="bottom"/>
          </w:tcPr>
          <w:p>
            <w:pPr>
              <w:jc w:val="center"/>
              <w:rPr>
                <w:sz w:val="24"/>
                <w:szCs w:val="24"/>
              </w:rPr>
            </w:pPr>
            <w:r>
              <w:rPr>
                <w:sz w:val="24"/>
                <w:szCs w:val="24"/>
              </w:rPr>
              <w:t>760 594,1</w:t>
            </w:r>
          </w:p>
        </w:tc>
        <w:tc>
          <w:tcPr>
            <w:tcW w:w="1871" w:type="dxa"/>
            <w:vAlign w:val="bottom"/>
          </w:tcPr>
          <w:p>
            <w:pPr>
              <w:jc w:val="center"/>
              <w:rPr>
                <w:sz w:val="24"/>
                <w:szCs w:val="24"/>
              </w:rPr>
            </w:pPr>
            <w:r>
              <w:rPr>
                <w:sz w:val="24"/>
                <w:szCs w:val="24"/>
              </w:rPr>
              <w:t>35 467 949,1</w:t>
            </w:r>
          </w:p>
        </w:tc>
        <w:tc>
          <w:tcPr>
            <w:tcW w:w="1985" w:type="dxa"/>
            <w:vAlign w:val="bottom"/>
          </w:tcPr>
          <w:p>
            <w:pPr>
              <w:jc w:val="center"/>
              <w:rPr>
                <w:sz w:val="24"/>
                <w:szCs w:val="24"/>
              </w:rPr>
            </w:pPr>
            <w:r>
              <w:rPr>
                <w:sz w:val="24"/>
                <w:szCs w:val="24"/>
              </w:rPr>
              <w:t>34 337 207,7</w:t>
            </w:r>
          </w:p>
        </w:tc>
        <w:tc>
          <w:tcPr>
            <w:tcW w:w="1843" w:type="dxa"/>
            <w:vAlign w:val="bottom"/>
          </w:tcPr>
          <w:p>
            <w:pPr>
              <w:jc w:val="center"/>
              <w:rPr>
                <w:sz w:val="24"/>
                <w:szCs w:val="24"/>
              </w:rPr>
            </w:pPr>
            <w:r>
              <w:rPr>
                <w:sz w:val="24"/>
                <w:szCs w:val="24"/>
              </w:rPr>
              <w:t>-1 130 741,4</w:t>
            </w:r>
          </w:p>
        </w:tc>
      </w:tr>
    </w:tbl>
    <w:p>
      <w:pPr>
        <w:pStyle w:val="3"/>
        <w:spacing w:after="0" w:line="240" w:lineRule="auto"/>
        <w:ind w:left="142"/>
        <w:jc w:val="both"/>
        <w:rPr>
          <w:rFonts w:ascii="Times New Roman" w:hAnsi="Times New Roman" w:cs="Times New Roman"/>
          <w:sz w:val="20"/>
          <w:szCs w:val="20"/>
        </w:rPr>
      </w:pPr>
    </w:p>
    <w:p>
      <w:pPr>
        <w:pStyle w:val="3"/>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- 2019 рік звіт враховано видатки за бюджетними програмами Міненерго</w:t>
      </w:r>
    </w:p>
    <w:p>
      <w:pPr>
        <w:pStyle w:val="3"/>
        <w:spacing w:after="0" w:line="240" w:lineRule="auto"/>
        <w:ind w:left="142"/>
        <w:jc w:val="both"/>
        <w:rPr>
          <w:rFonts w:ascii="Times New Roman" w:hAnsi="Times New Roman" w:cs="Times New Roman"/>
          <w:b/>
          <w:sz w:val="24"/>
          <w:szCs w:val="24"/>
        </w:rPr>
      </w:pPr>
    </w:p>
    <w:p>
      <w:pPr>
        <w:pStyle w:val="3"/>
        <w:spacing w:after="0" w:line="240" w:lineRule="auto"/>
        <w:ind w:left="142"/>
        <w:jc w:val="both"/>
        <w:rPr>
          <w:rFonts w:ascii="Times New Roman" w:hAnsi="Times New Roman" w:cs="Times New Roman"/>
          <w:b/>
          <w:sz w:val="24"/>
          <w:szCs w:val="24"/>
        </w:rPr>
      </w:pPr>
    </w:p>
    <w:p>
      <w:pPr>
        <w:pStyle w:val="3"/>
        <w:spacing w:after="0" w:line="240" w:lineRule="auto"/>
        <w:ind w:left="142"/>
        <w:jc w:val="both"/>
        <w:rPr>
          <w:rFonts w:ascii="Times New Roman" w:hAnsi="Times New Roman" w:cs="Times New Roman"/>
          <w:b/>
          <w:sz w:val="24"/>
          <w:szCs w:val="24"/>
        </w:rPr>
      </w:pPr>
    </w:p>
    <w:p>
      <w:pPr>
        <w:pStyle w:val="3"/>
        <w:spacing w:after="0" w:line="240" w:lineRule="auto"/>
        <w:ind w:left="142"/>
        <w:jc w:val="both"/>
        <w:rPr>
          <w:rFonts w:ascii="Times New Roman" w:hAnsi="Times New Roman" w:cs="Times New Roman"/>
          <w:b/>
          <w:sz w:val="24"/>
          <w:szCs w:val="24"/>
        </w:rPr>
      </w:pPr>
    </w:p>
    <w:p>
      <w:pPr>
        <w:pStyle w:val="3"/>
        <w:spacing w:after="0" w:line="240" w:lineRule="auto"/>
        <w:ind w:left="142"/>
        <w:jc w:val="both"/>
        <w:rPr>
          <w:rFonts w:ascii="Times New Roman" w:hAnsi="Times New Roman" w:cs="Times New Roman"/>
          <w:b/>
          <w:sz w:val="24"/>
          <w:szCs w:val="24"/>
        </w:rPr>
      </w:pPr>
    </w:p>
    <w:p>
      <w:pPr>
        <w:pStyle w:val="3"/>
        <w:spacing w:after="0" w:line="240" w:lineRule="auto"/>
        <w:ind w:left="142"/>
        <w:jc w:val="both"/>
        <w:rPr>
          <w:rFonts w:ascii="Times New Roman" w:hAnsi="Times New Roman" w:cs="Times New Roman"/>
          <w:b/>
          <w:sz w:val="24"/>
          <w:szCs w:val="24"/>
        </w:rPr>
      </w:pPr>
    </w:p>
    <w:p>
      <w:pPr>
        <w:pStyle w:val="3"/>
        <w:spacing w:after="0" w:line="240" w:lineRule="auto"/>
        <w:ind w:left="142"/>
        <w:jc w:val="both"/>
        <w:rPr>
          <w:rFonts w:ascii="Times New Roman" w:hAnsi="Times New Roman" w:cs="Times New Roman"/>
          <w:b/>
          <w:sz w:val="24"/>
          <w:szCs w:val="24"/>
        </w:rPr>
      </w:pPr>
    </w:p>
    <w:p>
      <w:pPr>
        <w:pStyle w:val="3"/>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2. Цілі державної політики та показники їх досягнення у 2018-2020 роках </w:t>
      </w:r>
    </w:p>
    <w:tbl>
      <w:tblPr>
        <w:tblW w:w="15309" w:type="dxa"/>
        <w:tblInd w:w="-5" w:type="dxa"/>
        <w:tblLayout w:type="fixed"/>
        <w:tblCellMar>
          <w:left w:w="120" w:type="dxa"/>
          <w:right w:w="120" w:type="dxa"/>
        </w:tblCellMar>
        <w:tblLook w:val="0000" w:firstRow="0" w:lastRow="0" w:firstColumn="0" w:lastColumn="0" w:noHBand="0" w:noVBand="0"/>
      </w:tblPr>
      <w:tblGrid>
        <w:gridCol w:w="5529"/>
        <w:gridCol w:w="2126"/>
        <w:gridCol w:w="1994"/>
        <w:gridCol w:w="1833"/>
        <w:gridCol w:w="1985"/>
        <w:gridCol w:w="1842"/>
      </w:tblGrid>
      <w:tr>
        <w:trPr>
          <w:cantSplit/>
          <w:trHeight w:val="578"/>
        </w:trPr>
        <w:tc>
          <w:tcPr>
            <w:tcW w:w="5529" w:type="dxa"/>
            <w:vMerge w:val="restart"/>
            <w:tcBorders>
              <w:top w:val="single" w:sz="4" w:space="0" w:color="auto"/>
              <w:left w:val="single" w:sz="4" w:space="0" w:color="auto"/>
            </w:tcBorders>
            <w:vAlign w:val="center"/>
          </w:tcPr>
          <w:p>
            <w:pPr>
              <w:pStyle w:val="1"/>
              <w:jc w:val="center"/>
              <w:rPr>
                <w:sz w:val="24"/>
                <w:szCs w:val="24"/>
                <w:lang w:val="uk-UA"/>
              </w:rPr>
            </w:pPr>
            <w:r>
              <w:rPr>
                <w:sz w:val="24"/>
                <w:szCs w:val="24"/>
                <w:lang w:val="uk-UA"/>
              </w:rPr>
              <w:t>Найменування, одиниця виміру</w:t>
            </w:r>
          </w:p>
        </w:tc>
        <w:tc>
          <w:tcPr>
            <w:tcW w:w="2126" w:type="dxa"/>
            <w:vMerge w:val="restart"/>
            <w:tcBorders>
              <w:top w:val="single" w:sz="4" w:space="0" w:color="auto"/>
              <w:left w:val="single" w:sz="4" w:space="0" w:color="auto"/>
            </w:tcBorders>
            <w:vAlign w:val="center"/>
          </w:tcPr>
          <w:p>
            <w:pPr>
              <w:pStyle w:val="1"/>
              <w:jc w:val="center"/>
              <w:rPr>
                <w:iCs/>
                <w:sz w:val="24"/>
                <w:szCs w:val="24"/>
                <w:lang w:val="uk-UA"/>
              </w:rPr>
            </w:pPr>
            <w:r>
              <w:rPr>
                <w:iCs/>
                <w:sz w:val="24"/>
                <w:szCs w:val="24"/>
                <w:lang w:val="uk-UA"/>
              </w:rPr>
              <w:t>2018рік</w:t>
            </w:r>
          </w:p>
          <w:p>
            <w:pPr>
              <w:pStyle w:val="1"/>
              <w:jc w:val="center"/>
              <w:rPr>
                <w:iCs/>
                <w:sz w:val="24"/>
                <w:szCs w:val="24"/>
                <w:lang w:val="uk-UA"/>
              </w:rPr>
            </w:pPr>
            <w:r>
              <w:rPr>
                <w:iCs/>
                <w:sz w:val="24"/>
                <w:szCs w:val="24"/>
                <w:lang w:val="uk-UA"/>
              </w:rPr>
              <w:t>факт</w:t>
            </w:r>
          </w:p>
        </w:tc>
        <w:tc>
          <w:tcPr>
            <w:tcW w:w="1994" w:type="dxa"/>
            <w:vMerge w:val="restart"/>
            <w:tcBorders>
              <w:top w:val="single" w:sz="4" w:space="0" w:color="auto"/>
              <w:left w:val="single" w:sz="4" w:space="0" w:color="auto"/>
              <w:right w:val="single" w:sz="4" w:space="0" w:color="auto"/>
            </w:tcBorders>
            <w:vAlign w:val="center"/>
          </w:tcPr>
          <w:p>
            <w:pPr>
              <w:pStyle w:val="1"/>
              <w:jc w:val="center"/>
              <w:rPr>
                <w:iCs/>
                <w:sz w:val="24"/>
                <w:szCs w:val="24"/>
                <w:lang w:val="uk-UA"/>
              </w:rPr>
            </w:pPr>
            <w:r>
              <w:rPr>
                <w:iCs/>
                <w:sz w:val="24"/>
                <w:szCs w:val="24"/>
                <w:lang w:val="uk-UA"/>
              </w:rPr>
              <w:t>2019 рік</w:t>
            </w:r>
          </w:p>
          <w:p>
            <w:pPr>
              <w:pStyle w:val="1"/>
              <w:jc w:val="center"/>
              <w:rPr>
                <w:iCs/>
                <w:sz w:val="24"/>
                <w:szCs w:val="24"/>
                <w:lang w:val="uk-UA"/>
              </w:rPr>
            </w:pPr>
            <w:r>
              <w:rPr>
                <w:iCs/>
                <w:sz w:val="24"/>
                <w:szCs w:val="24"/>
                <w:lang w:val="uk-UA"/>
              </w:rPr>
              <w:t>факт</w:t>
            </w:r>
          </w:p>
        </w:tc>
        <w:tc>
          <w:tcPr>
            <w:tcW w:w="5660" w:type="dxa"/>
            <w:gridSpan w:val="3"/>
            <w:tcBorders>
              <w:top w:val="single" w:sz="4" w:space="0" w:color="auto"/>
              <w:left w:val="single" w:sz="4" w:space="0" w:color="auto"/>
              <w:bottom w:val="nil"/>
              <w:right w:val="single" w:sz="4" w:space="0" w:color="auto"/>
            </w:tcBorders>
            <w:vAlign w:val="center"/>
          </w:tcPr>
          <w:p>
            <w:pPr>
              <w:pStyle w:val="1"/>
              <w:ind w:left="164" w:hanging="164"/>
              <w:jc w:val="center"/>
              <w:rPr>
                <w:sz w:val="24"/>
                <w:szCs w:val="24"/>
                <w:lang w:val="uk-UA"/>
              </w:rPr>
            </w:pPr>
            <w:r>
              <w:rPr>
                <w:sz w:val="24"/>
                <w:szCs w:val="24"/>
                <w:lang w:val="uk-UA"/>
              </w:rPr>
              <w:t>2020 рік</w:t>
            </w:r>
          </w:p>
        </w:tc>
      </w:tr>
      <w:tr>
        <w:trPr>
          <w:cantSplit/>
          <w:trHeight w:val="320"/>
        </w:trPr>
        <w:tc>
          <w:tcPr>
            <w:tcW w:w="5529" w:type="dxa"/>
            <w:vMerge/>
            <w:tcBorders>
              <w:left w:val="single" w:sz="4" w:space="0" w:color="auto"/>
            </w:tcBorders>
            <w:vAlign w:val="center"/>
          </w:tcPr>
          <w:p>
            <w:pPr>
              <w:pStyle w:val="1"/>
              <w:jc w:val="center"/>
              <w:rPr>
                <w:sz w:val="24"/>
                <w:szCs w:val="24"/>
                <w:lang w:val="uk-UA"/>
              </w:rPr>
            </w:pPr>
          </w:p>
        </w:tc>
        <w:tc>
          <w:tcPr>
            <w:tcW w:w="2126" w:type="dxa"/>
            <w:vMerge/>
            <w:tcBorders>
              <w:left w:val="single" w:sz="4" w:space="0" w:color="auto"/>
            </w:tcBorders>
          </w:tcPr>
          <w:p>
            <w:pPr>
              <w:pStyle w:val="1"/>
              <w:jc w:val="center"/>
              <w:rPr>
                <w:iCs/>
                <w:sz w:val="24"/>
                <w:szCs w:val="24"/>
                <w:lang w:val="uk-UA"/>
              </w:rPr>
            </w:pPr>
          </w:p>
        </w:tc>
        <w:tc>
          <w:tcPr>
            <w:tcW w:w="1994" w:type="dxa"/>
            <w:vMerge/>
            <w:tcBorders>
              <w:left w:val="single" w:sz="4" w:space="0" w:color="auto"/>
              <w:bottom w:val="nil"/>
              <w:right w:val="single" w:sz="4" w:space="0" w:color="auto"/>
            </w:tcBorders>
            <w:vAlign w:val="center"/>
          </w:tcPr>
          <w:p>
            <w:pPr>
              <w:pStyle w:val="1"/>
              <w:jc w:val="center"/>
              <w:rPr>
                <w:iCs/>
                <w:sz w:val="24"/>
                <w:szCs w:val="24"/>
                <w:lang w:val="uk-UA"/>
              </w:rPr>
            </w:pPr>
          </w:p>
        </w:tc>
        <w:tc>
          <w:tcPr>
            <w:tcW w:w="1833" w:type="dxa"/>
            <w:tcBorders>
              <w:top w:val="single" w:sz="4" w:space="0" w:color="auto"/>
              <w:left w:val="single" w:sz="4" w:space="0" w:color="auto"/>
              <w:bottom w:val="nil"/>
              <w:right w:val="single" w:sz="4" w:space="0" w:color="auto"/>
            </w:tcBorders>
            <w:vAlign w:val="center"/>
          </w:tcPr>
          <w:p>
            <w:pPr>
              <w:pStyle w:val="1"/>
              <w:ind w:left="164" w:hanging="164"/>
              <w:jc w:val="center"/>
              <w:rPr>
                <w:sz w:val="24"/>
                <w:szCs w:val="24"/>
                <w:lang w:val="uk-UA"/>
              </w:rPr>
            </w:pPr>
            <w:r>
              <w:rPr>
                <w:sz w:val="24"/>
                <w:szCs w:val="24"/>
                <w:lang w:val="uk-UA"/>
              </w:rPr>
              <w:t>план</w:t>
            </w:r>
          </w:p>
        </w:tc>
        <w:tc>
          <w:tcPr>
            <w:tcW w:w="1985" w:type="dxa"/>
            <w:tcBorders>
              <w:top w:val="single" w:sz="4" w:space="0" w:color="auto"/>
              <w:left w:val="single" w:sz="4" w:space="0" w:color="auto"/>
              <w:bottom w:val="nil"/>
              <w:right w:val="single" w:sz="4" w:space="0" w:color="auto"/>
            </w:tcBorders>
            <w:vAlign w:val="center"/>
          </w:tcPr>
          <w:p>
            <w:pPr>
              <w:pStyle w:val="1"/>
              <w:ind w:right="-119"/>
              <w:jc w:val="center"/>
              <w:rPr>
                <w:sz w:val="24"/>
                <w:szCs w:val="24"/>
                <w:lang w:val="uk-UA"/>
              </w:rPr>
            </w:pPr>
            <w:r>
              <w:rPr>
                <w:sz w:val="24"/>
                <w:szCs w:val="24"/>
                <w:lang w:val="uk-UA"/>
              </w:rPr>
              <w:t>факт</w:t>
            </w:r>
          </w:p>
        </w:tc>
        <w:tc>
          <w:tcPr>
            <w:tcW w:w="1842" w:type="dxa"/>
            <w:tcBorders>
              <w:top w:val="single" w:sz="4" w:space="0" w:color="auto"/>
              <w:left w:val="single" w:sz="4" w:space="0" w:color="auto"/>
              <w:bottom w:val="single" w:sz="4" w:space="0" w:color="auto"/>
              <w:right w:val="single" w:sz="4" w:space="0" w:color="auto"/>
            </w:tcBorders>
            <w:vAlign w:val="center"/>
          </w:tcPr>
          <w:p>
            <w:pPr>
              <w:pStyle w:val="1"/>
              <w:ind w:right="-119"/>
              <w:jc w:val="center"/>
              <w:rPr>
                <w:sz w:val="24"/>
                <w:szCs w:val="24"/>
                <w:lang w:val="uk-UA"/>
              </w:rPr>
            </w:pPr>
            <w:r>
              <w:rPr>
                <w:sz w:val="24"/>
                <w:szCs w:val="24"/>
                <w:lang w:val="uk-UA"/>
              </w:rPr>
              <w:t>відхилення фактичних показників від планових</w:t>
            </w:r>
          </w:p>
        </w:tc>
      </w:tr>
      <w:tr>
        <w:trPr>
          <w:cantSplit/>
          <w:trHeight w:val="284"/>
        </w:trPr>
        <w:tc>
          <w:tcPr>
            <w:tcW w:w="5529" w:type="dxa"/>
            <w:tcBorders>
              <w:top w:val="single" w:sz="4" w:space="0" w:color="auto"/>
              <w:left w:val="single" w:sz="4" w:space="0" w:color="auto"/>
              <w:bottom w:val="single" w:sz="4" w:space="0" w:color="auto"/>
              <w:right w:val="single" w:sz="4" w:space="0" w:color="auto"/>
            </w:tcBorders>
            <w:vAlign w:val="bottom"/>
          </w:tcPr>
          <w:p>
            <w:pPr>
              <w:pStyle w:val="1"/>
              <w:jc w:val="center"/>
              <w:rPr>
                <w:lang w:val="uk-UA"/>
              </w:rPr>
            </w:pPr>
            <w:r>
              <w:rPr>
                <w:lang w:val="uk-UA"/>
              </w:rPr>
              <w:t>1</w:t>
            </w:r>
          </w:p>
        </w:tc>
        <w:tc>
          <w:tcPr>
            <w:tcW w:w="2126" w:type="dxa"/>
            <w:tcBorders>
              <w:top w:val="single" w:sz="4" w:space="0" w:color="auto"/>
              <w:left w:val="single" w:sz="4" w:space="0" w:color="auto"/>
              <w:bottom w:val="single" w:sz="4" w:space="0" w:color="auto"/>
              <w:right w:val="single" w:sz="4" w:space="0" w:color="auto"/>
            </w:tcBorders>
            <w:vAlign w:val="bottom"/>
          </w:tcPr>
          <w:p>
            <w:pPr>
              <w:pStyle w:val="1"/>
              <w:jc w:val="center"/>
              <w:rPr>
                <w:lang w:val="uk-UA"/>
              </w:rPr>
            </w:pPr>
            <w:r>
              <w:rPr>
                <w:lang w:val="uk-UA"/>
              </w:rPr>
              <w:t>2</w:t>
            </w:r>
          </w:p>
        </w:tc>
        <w:tc>
          <w:tcPr>
            <w:tcW w:w="1994" w:type="dxa"/>
            <w:tcBorders>
              <w:top w:val="single" w:sz="4" w:space="0" w:color="auto"/>
              <w:left w:val="single" w:sz="4" w:space="0" w:color="auto"/>
              <w:bottom w:val="single" w:sz="4" w:space="0" w:color="auto"/>
              <w:right w:val="single" w:sz="4" w:space="0" w:color="auto"/>
            </w:tcBorders>
            <w:vAlign w:val="bottom"/>
          </w:tcPr>
          <w:p>
            <w:pPr>
              <w:pStyle w:val="1"/>
              <w:jc w:val="center"/>
              <w:rPr>
                <w:lang w:val="uk-UA"/>
              </w:rPr>
            </w:pPr>
            <w:r>
              <w:rPr>
                <w:lang w:val="uk-UA"/>
              </w:rPr>
              <w:t>3</w:t>
            </w:r>
          </w:p>
        </w:tc>
        <w:tc>
          <w:tcPr>
            <w:tcW w:w="1833" w:type="dxa"/>
            <w:tcBorders>
              <w:top w:val="single" w:sz="4" w:space="0" w:color="auto"/>
              <w:left w:val="single" w:sz="4" w:space="0" w:color="auto"/>
              <w:bottom w:val="single" w:sz="4" w:space="0" w:color="auto"/>
              <w:right w:val="single" w:sz="4" w:space="0" w:color="auto"/>
            </w:tcBorders>
            <w:vAlign w:val="bottom"/>
          </w:tcPr>
          <w:p>
            <w:pPr>
              <w:pStyle w:val="1"/>
              <w:jc w:val="center"/>
              <w:rPr>
                <w:lang w:val="uk-UA"/>
              </w:rPr>
            </w:pPr>
            <w:r>
              <w:rPr>
                <w:lang w:val="uk-UA"/>
              </w:rPr>
              <w:t>4</w:t>
            </w:r>
          </w:p>
        </w:tc>
        <w:tc>
          <w:tcPr>
            <w:tcW w:w="1985" w:type="dxa"/>
            <w:tcBorders>
              <w:top w:val="single" w:sz="4" w:space="0" w:color="auto"/>
              <w:left w:val="single" w:sz="4" w:space="0" w:color="auto"/>
              <w:bottom w:val="single" w:sz="4" w:space="0" w:color="auto"/>
              <w:right w:val="single" w:sz="4" w:space="0" w:color="auto"/>
            </w:tcBorders>
            <w:vAlign w:val="bottom"/>
          </w:tcPr>
          <w:p>
            <w:pPr>
              <w:pStyle w:val="1"/>
              <w:jc w:val="center"/>
              <w:rPr>
                <w:lang w:val="uk-UA"/>
              </w:rPr>
            </w:pPr>
            <w:r>
              <w:rPr>
                <w:lang w:val="uk-UA"/>
              </w:rPr>
              <w:t>5</w:t>
            </w:r>
          </w:p>
        </w:tc>
        <w:tc>
          <w:tcPr>
            <w:tcW w:w="1842" w:type="dxa"/>
            <w:tcBorders>
              <w:top w:val="single" w:sz="4" w:space="0" w:color="auto"/>
              <w:left w:val="single" w:sz="4" w:space="0" w:color="auto"/>
              <w:bottom w:val="single" w:sz="4" w:space="0" w:color="auto"/>
              <w:right w:val="single" w:sz="4" w:space="0" w:color="auto"/>
            </w:tcBorders>
            <w:vAlign w:val="bottom"/>
          </w:tcPr>
          <w:p>
            <w:pPr>
              <w:pStyle w:val="1"/>
              <w:jc w:val="center"/>
              <w:rPr>
                <w:lang w:val="uk-UA"/>
              </w:rPr>
            </w:pPr>
            <w:r>
              <w:rPr>
                <w:lang w:val="uk-UA"/>
              </w:rPr>
              <w:t>6</w:t>
            </w:r>
          </w:p>
        </w:tc>
      </w:tr>
      <w:tr>
        <w:trPr>
          <w:cantSplit/>
          <w:trHeight w:val="397"/>
        </w:trPr>
        <w:tc>
          <w:tcPr>
            <w:tcW w:w="15309" w:type="dxa"/>
            <w:gridSpan w:val="6"/>
            <w:tcBorders>
              <w:top w:val="single" w:sz="4" w:space="0" w:color="auto"/>
              <w:left w:val="single" w:sz="4" w:space="0" w:color="auto"/>
              <w:bottom w:val="single" w:sz="4" w:space="0" w:color="auto"/>
              <w:right w:val="single" w:sz="4" w:space="0" w:color="auto"/>
            </w:tcBorders>
            <w:vAlign w:val="bottom"/>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 xml:space="preserve">Ціль 1 </w:t>
            </w:r>
            <w:r>
              <w:rPr>
                <w:rFonts w:ascii="Times New Roman" w:hAnsi="Times New Roman" w:cs="Times New Roman"/>
                <w:b/>
                <w:color w:val="000000"/>
                <w:sz w:val="24"/>
                <w:szCs w:val="24"/>
              </w:rPr>
              <w:t>Менша кількість українців перебуває за межею енергетичної бідності та підвищено енергоефективність економіки</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olor w:val="000000"/>
                <w:sz w:val="24"/>
                <w:szCs w:val="24"/>
              </w:rPr>
              <w:t>Економія природного газу в середньому однією особою за рахунок придбання котлів з використання будь-яких видів палива та енергії (крім природного газу та електроенергії) (відс.)</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Економія природного газу в середньому однією особою за рахунок придбання енергоефективного обладнання та/або матеріалів (відс.)</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Економія природного газу в середньому одним об'єднанням співвласників багатоквартирних будинків, житлово-будівельним кооперативом за рахунок впровадження енергоефективних заходів (відс.)</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Рівень задоволення позичальників від участі у Державній цільовій економічній програмі енергоефективності і розвитку сфери виробництва енергоносіїв з відновлюваних джерел енергії та альтернативних видів палива на 2010-2020 роки (відс.)</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98,5</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trPr>
          <w:cantSplit/>
          <w:trHeight w:val="397"/>
        </w:trPr>
        <w:tc>
          <w:tcPr>
            <w:tcW w:w="15309" w:type="dxa"/>
            <w:gridSpan w:val="6"/>
            <w:tcBorders>
              <w:top w:val="single" w:sz="4" w:space="0" w:color="auto"/>
              <w:left w:val="single" w:sz="4" w:space="0" w:color="auto"/>
              <w:bottom w:val="single" w:sz="4" w:space="0" w:color="auto"/>
              <w:right w:val="single" w:sz="4" w:space="0" w:color="auto"/>
            </w:tcBorders>
            <w:vAlign w:val="bottom"/>
          </w:tcPr>
          <w:p>
            <w:pPr>
              <w:pStyle w:val="1"/>
              <w:rPr>
                <w:color w:val="000000" w:themeColor="text1"/>
                <w:sz w:val="24"/>
                <w:szCs w:val="24"/>
                <w:lang w:val="uk-UA"/>
              </w:rPr>
            </w:pPr>
            <w:r>
              <w:rPr>
                <w:b/>
                <w:i/>
                <w:color w:val="000000" w:themeColor="text1"/>
                <w:sz w:val="24"/>
                <w:szCs w:val="24"/>
                <w:lang w:val="uk-UA"/>
              </w:rPr>
              <w:t>Висновок про досягнення цілі</w:t>
            </w:r>
            <w:r>
              <w:rPr>
                <w:color w:val="000000" w:themeColor="text1"/>
                <w:sz w:val="24"/>
                <w:szCs w:val="24"/>
                <w:lang w:val="uk-UA"/>
              </w:rPr>
              <w:t xml:space="preserve">  Аналіз результативних показників бюджетних програм КПКВК 2401010 та КПКВК 2406060 показав на високу результативність та досягнення запланованої цілі. Програма «теплих кредитів» покращує комфорт в будинках та сприяє скороченню обсягів споживання енергії, що підвищує енергоефективність економіки.</w:t>
            </w:r>
          </w:p>
        </w:tc>
      </w:tr>
      <w:tr>
        <w:trPr>
          <w:cantSplit/>
          <w:trHeight w:val="397"/>
        </w:trPr>
        <w:tc>
          <w:tcPr>
            <w:tcW w:w="15309" w:type="dxa"/>
            <w:gridSpan w:val="6"/>
            <w:tcBorders>
              <w:top w:val="single" w:sz="4" w:space="0" w:color="auto"/>
              <w:left w:val="single" w:sz="4" w:space="0" w:color="auto"/>
              <w:bottom w:val="single" w:sz="4" w:space="0" w:color="auto"/>
              <w:right w:val="single" w:sz="4" w:space="0" w:color="auto"/>
            </w:tcBorders>
            <w:vAlign w:val="bottom"/>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Ціль 2</w:t>
            </w:r>
            <w:r>
              <w:rPr>
                <w:rFonts w:ascii="Times New Roman" w:hAnsi="Times New Roman" w:cs="Times New Roman"/>
                <w:b/>
                <w:color w:val="000000"/>
                <w:sz w:val="24"/>
                <w:szCs w:val="24"/>
              </w:rPr>
              <w:t xml:space="preserve"> Українські споживачі та український бізнес сплачують справедливу ціну за якісні енергетичні товари</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вугільних підприємств, по яким у поточному році завершуються роботи за проектами ліквідації у повному обсязі (од.)</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w:t>
            </w:r>
          </w:p>
        </w:tc>
        <w:tc>
          <w:tcPr>
            <w:tcW w:w="183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6</w:t>
            </w:r>
          </w:p>
        </w:tc>
        <w:tc>
          <w:tcPr>
            <w:tcW w:w="1985"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4</w:t>
            </w:r>
          </w:p>
        </w:tc>
        <w:tc>
          <w:tcPr>
            <w:tcW w:w="1842"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Рівень виконання робіт за проектами ліквідації шахт з початку їх виконання на кінець року (відс.)</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46</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44</w:t>
            </w:r>
          </w:p>
        </w:tc>
        <w:tc>
          <w:tcPr>
            <w:tcW w:w="183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61</w:t>
            </w:r>
          </w:p>
        </w:tc>
        <w:tc>
          <w:tcPr>
            <w:tcW w:w="1985"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50,5</w:t>
            </w:r>
          </w:p>
        </w:tc>
        <w:tc>
          <w:tcPr>
            <w:tcW w:w="1842"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-10,5</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Кількість перевірок готовності до роботи в осінньо-зимовий період, проходження грозового періоду та періоду підвищених температур, льодоходу, весняної повені суб'єктів електроенергетики та суб'єктів відносин у сфері теплопостачання (в т.ч. електростанцій, електричних та теплових мереж, енергосистем) (од.)</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b/>
                <w:sz w:val="24"/>
                <w:szCs w:val="24"/>
                <w:lang w:val="uk-UA"/>
              </w:rPr>
            </w:pPr>
            <w:r>
              <w:rPr>
                <w:b/>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b/>
                <w:sz w:val="24"/>
                <w:szCs w:val="24"/>
                <w:lang w:val="uk-UA"/>
              </w:rPr>
            </w:pPr>
            <w:r>
              <w:rPr>
                <w:b/>
                <w:sz w:val="24"/>
                <w:szCs w:val="24"/>
                <w:lang w:val="uk-UA"/>
              </w:rPr>
              <w:t>-</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603</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7733</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7130</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проведених розслідувань причин і наслідків аварій і пожеж на обладнанні електричних мереж учасників ринку електричної енергії та суб'єктів відносин у сфері теплопостачання, у яких беруть участь працівники Держенергонагляду (од.)</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b/>
                <w:sz w:val="24"/>
                <w:szCs w:val="24"/>
                <w:lang w:val="uk-UA"/>
              </w:rPr>
            </w:pPr>
            <w:r>
              <w:rPr>
                <w:b/>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b/>
                <w:sz w:val="24"/>
                <w:szCs w:val="24"/>
                <w:lang w:val="uk-UA"/>
              </w:rPr>
            </w:pPr>
            <w:r>
              <w:rPr>
                <w:b/>
                <w:sz w:val="24"/>
                <w:szCs w:val="24"/>
                <w:lang w:val="uk-UA"/>
              </w:rPr>
              <w:t>-</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tc>
      </w:tr>
      <w:tr>
        <w:trPr>
          <w:cantSplit/>
          <w:trHeight w:val="397"/>
        </w:trPr>
        <w:tc>
          <w:tcPr>
            <w:tcW w:w="15309" w:type="dxa"/>
            <w:gridSpan w:val="6"/>
            <w:tcBorders>
              <w:top w:val="single" w:sz="4" w:space="0" w:color="auto"/>
              <w:left w:val="single" w:sz="4" w:space="0" w:color="auto"/>
              <w:bottom w:val="single" w:sz="4" w:space="0" w:color="auto"/>
              <w:right w:val="single" w:sz="4" w:space="0" w:color="auto"/>
            </w:tcBorders>
            <w:vAlign w:val="bottom"/>
          </w:tcPr>
          <w:p>
            <w:pPr>
              <w:pStyle w:val="1"/>
              <w:rPr>
                <w:sz w:val="24"/>
                <w:szCs w:val="24"/>
                <w:lang w:val="uk-UA"/>
              </w:rPr>
            </w:pPr>
            <w:r>
              <w:rPr>
                <w:b/>
                <w:i/>
                <w:sz w:val="24"/>
                <w:szCs w:val="24"/>
                <w:lang w:val="uk-UA"/>
              </w:rPr>
              <w:t xml:space="preserve">Висновок про досягнення </w:t>
            </w:r>
            <w:r>
              <w:rPr>
                <w:b/>
                <w:i/>
                <w:color w:val="000000" w:themeColor="text1"/>
                <w:sz w:val="24"/>
                <w:szCs w:val="24"/>
                <w:lang w:val="uk-UA"/>
              </w:rPr>
              <w:t xml:space="preserve">цілі </w:t>
            </w:r>
            <w:r>
              <w:rPr>
                <w:color w:val="000000" w:themeColor="text1"/>
                <w:sz w:val="24"/>
                <w:szCs w:val="24"/>
                <w:lang w:val="uk-UA"/>
              </w:rPr>
              <w:t>Аналіз результативних показників бюджетних програм КПКВК 2401070 та КПКВК 2403010 показав на досягнення запланованої цілі. Готовність до роботи в осінньо-зимовий період, проходження грозового періоду та періоду підвищених температур, льодоходу, весняної повені суб'єктів електроенергетики та суб'єктів відносин у сфері теплопостачання та виконання робіт за проектами ліквідації шахт забезпечують українцям якісні енергетичні послуги.</w:t>
            </w:r>
          </w:p>
        </w:tc>
      </w:tr>
      <w:tr>
        <w:trPr>
          <w:cantSplit/>
          <w:trHeight w:val="397"/>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bottom"/>
          </w:tcPr>
          <w:p>
            <w:pPr>
              <w:pStyle w:val="1"/>
              <w:rPr>
                <w:sz w:val="24"/>
                <w:szCs w:val="24"/>
                <w:lang w:val="uk-UA"/>
              </w:rPr>
            </w:pPr>
            <w:r>
              <w:rPr>
                <w:b/>
                <w:sz w:val="24"/>
                <w:szCs w:val="24"/>
                <w:lang w:val="uk-UA"/>
              </w:rPr>
              <w:t>Ціль 3 Українцю не загрожують ризики залишитись без енергозабезпечення</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bottom"/>
          </w:tcPr>
          <w:p>
            <w:pPr>
              <w:pStyle w:val="1"/>
              <w:rPr>
                <w:sz w:val="24"/>
                <w:szCs w:val="24"/>
                <w:lang w:val="uk-UA"/>
              </w:rPr>
            </w:pPr>
            <w:r>
              <w:rPr>
                <w:sz w:val="24"/>
                <w:szCs w:val="24"/>
                <w:lang w:val="uk-UA"/>
              </w:rPr>
              <w:t>Рівень реалізації державного інвестиційного проекту (з урахуванням усіх джерел фінансування державного інвестиційного проекту) (відс.)</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83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17,1</w:t>
            </w:r>
          </w:p>
        </w:tc>
        <w:tc>
          <w:tcPr>
            <w:tcW w:w="1985"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15,7</w:t>
            </w:r>
          </w:p>
        </w:tc>
        <w:tc>
          <w:tcPr>
            <w:tcW w:w="1842"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-1,4</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поставлених вузлів та комплектів обладнання за контрактами на реконструкцію гідроагрегатів на Канівській ГЕС, Київській ГАЕС, ДніпроГЕС-1, ДніпроГЕС-2, Середньодніпровській ГЕС та Кременчуцькій ГЕС (од.)</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color w:val="000000" w:themeColor="text1"/>
                <w:sz w:val="24"/>
                <w:szCs w:val="24"/>
                <w:lang w:val="uk-UA"/>
              </w:rPr>
            </w:pPr>
            <w:r>
              <w:rPr>
                <w:color w:val="000000" w:themeColor="text1"/>
                <w:sz w:val="24"/>
                <w:szCs w:val="24"/>
                <w:lang w:val="uk-UA"/>
              </w:rPr>
              <w:t>24</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242</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поставлених систем за контрактом на реконструкцію 8 агрегатних систем управління та захисту та 2 блочних систем управління та захисту на Канівській ГЕС (од.)</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color w:val="000000" w:themeColor="text1"/>
                <w:sz w:val="24"/>
                <w:szCs w:val="24"/>
                <w:lang w:val="uk-UA"/>
              </w:rPr>
            </w:pPr>
            <w:r>
              <w:rPr>
                <w:color w:val="000000" w:themeColor="text1"/>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Введення додаткової потужності (МВт)</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color w:val="000000" w:themeColor="text1"/>
                <w:sz w:val="24"/>
                <w:szCs w:val="24"/>
                <w:lang w:val="uk-UA"/>
              </w:rPr>
            </w:pPr>
            <w:r>
              <w:rPr>
                <w:color w:val="000000" w:themeColor="text1"/>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5,3</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bottom"/>
          </w:tcPr>
          <w:p>
            <w:pPr>
              <w:pStyle w:val="1"/>
              <w:rPr>
                <w:sz w:val="24"/>
                <w:szCs w:val="24"/>
                <w:lang w:val="uk-UA"/>
              </w:rPr>
            </w:pPr>
            <w:r>
              <w:rPr>
                <w:sz w:val="24"/>
                <w:szCs w:val="24"/>
                <w:lang w:val="uk-UA"/>
              </w:rPr>
              <w:t>Кількість ліквідованих надзвичайних ситуацій техногенного та природного характеру та їх наслідків (од.)</w:t>
            </w:r>
          </w:p>
        </w:tc>
        <w:tc>
          <w:tcPr>
            <w:tcW w:w="2126" w:type="dxa"/>
            <w:tcBorders>
              <w:top w:val="single" w:sz="4" w:space="0" w:color="auto"/>
              <w:left w:val="single" w:sz="4" w:space="0" w:color="auto"/>
              <w:bottom w:val="single" w:sz="4" w:space="0" w:color="auto"/>
              <w:right w:val="single" w:sz="4" w:space="0" w:color="auto"/>
            </w:tcBorders>
            <w:vAlign w:val="bottom"/>
          </w:tcPr>
          <w:p>
            <w:pPr>
              <w:pStyle w:val="1"/>
              <w:jc w:val="center"/>
              <w:rPr>
                <w:sz w:val="24"/>
                <w:szCs w:val="24"/>
                <w:lang w:val="uk-UA"/>
              </w:rPr>
            </w:pPr>
            <w:r>
              <w:rPr>
                <w:sz w:val="24"/>
                <w:szCs w:val="24"/>
                <w:lang w:val="uk-UA"/>
              </w:rPr>
              <w:t>37</w:t>
            </w:r>
          </w:p>
        </w:tc>
        <w:tc>
          <w:tcPr>
            <w:tcW w:w="1994" w:type="dxa"/>
            <w:tcBorders>
              <w:top w:val="single" w:sz="4" w:space="0" w:color="auto"/>
              <w:left w:val="single" w:sz="4" w:space="0" w:color="auto"/>
              <w:bottom w:val="single" w:sz="4" w:space="0" w:color="auto"/>
              <w:right w:val="single" w:sz="4" w:space="0" w:color="auto"/>
            </w:tcBorders>
            <w:vAlign w:val="bottom"/>
          </w:tcPr>
          <w:p>
            <w:pPr>
              <w:pStyle w:val="1"/>
              <w:jc w:val="center"/>
              <w:rPr>
                <w:sz w:val="24"/>
                <w:szCs w:val="24"/>
                <w:lang w:val="uk-UA"/>
              </w:rPr>
            </w:pPr>
            <w:r>
              <w:rPr>
                <w:sz w:val="24"/>
                <w:szCs w:val="24"/>
                <w:lang w:val="uk-UA"/>
              </w:rPr>
              <w:t>42</w:t>
            </w:r>
          </w:p>
        </w:tc>
        <w:tc>
          <w:tcPr>
            <w:tcW w:w="1833" w:type="dxa"/>
            <w:tcBorders>
              <w:top w:val="single" w:sz="4" w:space="0" w:color="auto"/>
              <w:left w:val="single" w:sz="4" w:space="0" w:color="auto"/>
              <w:bottom w:val="single" w:sz="4" w:space="0" w:color="auto"/>
              <w:right w:val="single" w:sz="4" w:space="0" w:color="auto"/>
            </w:tcBorders>
            <w:vAlign w:val="bottom"/>
          </w:tcPr>
          <w:p>
            <w:pPr>
              <w:spacing w:after="0" w:line="240" w:lineRule="auto"/>
              <w:jc w:val="center"/>
              <w:rPr>
                <w:sz w:val="24"/>
                <w:szCs w:val="24"/>
              </w:rPr>
            </w:pPr>
            <w:r>
              <w:rPr>
                <w:rFonts w:ascii="Times New Roman" w:hAnsi="Times New Roman" w:cs="Times New Roman"/>
                <w:sz w:val="24"/>
                <w:szCs w:val="24"/>
              </w:rPr>
              <w:t>20</w:t>
            </w:r>
          </w:p>
        </w:tc>
        <w:tc>
          <w:tcPr>
            <w:tcW w:w="1985" w:type="dxa"/>
            <w:tcBorders>
              <w:top w:val="single" w:sz="4" w:space="0" w:color="auto"/>
              <w:left w:val="single" w:sz="4" w:space="0" w:color="auto"/>
              <w:bottom w:val="single" w:sz="4" w:space="0" w:color="auto"/>
              <w:right w:val="single" w:sz="4" w:space="0" w:color="auto"/>
            </w:tcBorders>
            <w:vAlign w:val="bottom"/>
          </w:tcPr>
          <w:p>
            <w:pPr>
              <w:pStyle w:val="1"/>
              <w:jc w:val="center"/>
              <w:rPr>
                <w:sz w:val="24"/>
                <w:szCs w:val="24"/>
                <w:lang w:val="uk-UA"/>
              </w:rPr>
            </w:pPr>
            <w:r>
              <w:rPr>
                <w:sz w:val="24"/>
                <w:szCs w:val="24"/>
                <w:lang w:val="uk-UA"/>
              </w:rPr>
              <w:t>21</w:t>
            </w:r>
          </w:p>
        </w:tc>
        <w:tc>
          <w:tcPr>
            <w:tcW w:w="1842" w:type="dxa"/>
            <w:tcBorders>
              <w:top w:val="single" w:sz="4" w:space="0" w:color="auto"/>
              <w:left w:val="single" w:sz="4" w:space="0" w:color="auto"/>
              <w:bottom w:val="single" w:sz="4" w:space="0" w:color="auto"/>
              <w:right w:val="single" w:sz="4" w:space="0" w:color="auto"/>
            </w:tcBorders>
            <w:vAlign w:val="bottom"/>
          </w:tcPr>
          <w:p>
            <w:pPr>
              <w:pStyle w:val="1"/>
              <w:jc w:val="center"/>
              <w:rPr>
                <w:sz w:val="24"/>
                <w:szCs w:val="24"/>
                <w:lang w:val="uk-UA"/>
              </w:rPr>
            </w:pPr>
            <w:r>
              <w:rPr>
                <w:sz w:val="24"/>
                <w:szCs w:val="24"/>
                <w:lang w:val="uk-UA"/>
              </w:rPr>
              <w:t>1</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bottom"/>
          </w:tcPr>
          <w:p>
            <w:pPr>
              <w:pStyle w:val="1"/>
              <w:rPr>
                <w:sz w:val="24"/>
                <w:szCs w:val="24"/>
                <w:lang w:val="uk-UA"/>
              </w:rPr>
            </w:pPr>
            <w:r>
              <w:rPr>
                <w:sz w:val="24"/>
                <w:szCs w:val="24"/>
                <w:lang w:val="uk-UA"/>
              </w:rPr>
              <w:t>Кількість попереджених надзвичайних ситуацій техногенного і природного характеру (од.)</w:t>
            </w:r>
          </w:p>
        </w:tc>
        <w:tc>
          <w:tcPr>
            <w:tcW w:w="2126" w:type="dxa"/>
            <w:tcBorders>
              <w:top w:val="single" w:sz="4" w:space="0" w:color="auto"/>
              <w:left w:val="single" w:sz="4" w:space="0" w:color="auto"/>
              <w:bottom w:val="single" w:sz="4" w:space="0" w:color="auto"/>
              <w:right w:val="single" w:sz="4" w:space="0" w:color="auto"/>
            </w:tcBorders>
            <w:vAlign w:val="bottom"/>
          </w:tcPr>
          <w:p>
            <w:pPr>
              <w:pStyle w:val="1"/>
              <w:jc w:val="center"/>
              <w:rPr>
                <w:sz w:val="24"/>
                <w:szCs w:val="24"/>
                <w:lang w:val="uk-UA"/>
              </w:rPr>
            </w:pPr>
            <w:r>
              <w:rPr>
                <w:sz w:val="24"/>
                <w:szCs w:val="24"/>
                <w:lang w:val="uk-UA"/>
              </w:rPr>
              <w:t>2464</w:t>
            </w:r>
          </w:p>
        </w:tc>
        <w:tc>
          <w:tcPr>
            <w:tcW w:w="1994" w:type="dxa"/>
            <w:tcBorders>
              <w:top w:val="single" w:sz="4" w:space="0" w:color="auto"/>
              <w:left w:val="single" w:sz="4" w:space="0" w:color="auto"/>
              <w:bottom w:val="single" w:sz="4" w:space="0" w:color="auto"/>
              <w:right w:val="single" w:sz="4" w:space="0" w:color="auto"/>
            </w:tcBorders>
            <w:vAlign w:val="bottom"/>
          </w:tcPr>
          <w:p>
            <w:pPr>
              <w:pStyle w:val="1"/>
              <w:jc w:val="center"/>
              <w:rPr>
                <w:sz w:val="24"/>
                <w:szCs w:val="24"/>
                <w:lang w:val="uk-UA"/>
              </w:rPr>
            </w:pPr>
            <w:r>
              <w:rPr>
                <w:sz w:val="24"/>
                <w:szCs w:val="24"/>
                <w:lang w:val="uk-UA"/>
              </w:rPr>
              <w:t>3038</w:t>
            </w:r>
          </w:p>
        </w:tc>
        <w:tc>
          <w:tcPr>
            <w:tcW w:w="1833" w:type="dxa"/>
            <w:tcBorders>
              <w:top w:val="single" w:sz="4" w:space="0" w:color="auto"/>
              <w:left w:val="single" w:sz="4" w:space="0" w:color="auto"/>
              <w:bottom w:val="single" w:sz="4" w:space="0" w:color="auto"/>
              <w:right w:val="single" w:sz="4" w:space="0" w:color="auto"/>
            </w:tcBorders>
            <w:vAlign w:val="bottom"/>
          </w:tcPr>
          <w:p>
            <w:pPr>
              <w:pStyle w:val="1"/>
              <w:jc w:val="center"/>
              <w:rPr>
                <w:sz w:val="24"/>
                <w:szCs w:val="24"/>
                <w:lang w:val="uk-UA"/>
              </w:rPr>
            </w:pPr>
            <w:r>
              <w:rPr>
                <w:sz w:val="24"/>
                <w:szCs w:val="24"/>
                <w:lang w:val="uk-UA"/>
              </w:rPr>
              <w:t>2000</w:t>
            </w:r>
          </w:p>
        </w:tc>
        <w:tc>
          <w:tcPr>
            <w:tcW w:w="1985" w:type="dxa"/>
            <w:tcBorders>
              <w:top w:val="single" w:sz="4" w:space="0" w:color="auto"/>
              <w:left w:val="single" w:sz="4" w:space="0" w:color="auto"/>
              <w:bottom w:val="single" w:sz="4" w:space="0" w:color="auto"/>
              <w:right w:val="single" w:sz="4" w:space="0" w:color="auto"/>
            </w:tcBorders>
            <w:vAlign w:val="bottom"/>
          </w:tcPr>
          <w:p>
            <w:pPr>
              <w:pStyle w:val="1"/>
              <w:jc w:val="center"/>
              <w:rPr>
                <w:sz w:val="24"/>
                <w:szCs w:val="24"/>
                <w:lang w:val="uk-UA"/>
              </w:rPr>
            </w:pPr>
            <w:r>
              <w:rPr>
                <w:sz w:val="24"/>
                <w:szCs w:val="24"/>
                <w:lang w:val="uk-UA"/>
              </w:rPr>
              <w:t>2977</w:t>
            </w:r>
          </w:p>
        </w:tc>
        <w:tc>
          <w:tcPr>
            <w:tcW w:w="1842" w:type="dxa"/>
            <w:tcBorders>
              <w:top w:val="single" w:sz="4" w:space="0" w:color="auto"/>
              <w:left w:val="single" w:sz="4" w:space="0" w:color="auto"/>
              <w:bottom w:val="single" w:sz="4" w:space="0" w:color="auto"/>
              <w:right w:val="single" w:sz="4" w:space="0" w:color="auto"/>
            </w:tcBorders>
            <w:vAlign w:val="bottom"/>
          </w:tcPr>
          <w:p>
            <w:pPr>
              <w:pStyle w:val="1"/>
              <w:jc w:val="center"/>
              <w:rPr>
                <w:sz w:val="24"/>
                <w:szCs w:val="24"/>
                <w:lang w:val="uk-UA"/>
              </w:rPr>
            </w:pPr>
            <w:r>
              <w:rPr>
                <w:sz w:val="24"/>
                <w:szCs w:val="24"/>
                <w:lang w:val="uk-UA"/>
              </w:rPr>
              <w:t>977</w:t>
            </w:r>
          </w:p>
        </w:tc>
      </w:tr>
      <w:tr>
        <w:trPr>
          <w:cantSplit/>
          <w:trHeight w:val="397"/>
        </w:trPr>
        <w:tc>
          <w:tcPr>
            <w:tcW w:w="15309" w:type="dxa"/>
            <w:gridSpan w:val="6"/>
            <w:tcBorders>
              <w:top w:val="single" w:sz="4" w:space="0" w:color="auto"/>
              <w:left w:val="single" w:sz="4" w:space="0" w:color="auto"/>
              <w:bottom w:val="single" w:sz="4" w:space="0" w:color="auto"/>
              <w:right w:val="single" w:sz="4" w:space="0" w:color="auto"/>
            </w:tcBorders>
            <w:vAlign w:val="bottom"/>
          </w:tcPr>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i/>
                <w:sz w:val="24"/>
                <w:szCs w:val="24"/>
              </w:rPr>
              <w:lastRenderedPageBreak/>
              <w:t xml:space="preserve">Висновок про досягнення цілі  </w:t>
            </w:r>
            <w:r>
              <w:rPr>
                <w:rFonts w:ascii="Times New Roman" w:hAnsi="Times New Roman" w:cs="Times New Roman"/>
                <w:color w:val="000000" w:themeColor="text1"/>
                <w:sz w:val="24"/>
                <w:szCs w:val="24"/>
              </w:rPr>
              <w:t>Аналіз результативних показників бюджетних програм КПКВК 2401100, 2401140, 2401420, 2401440, 2401470, 2401590, 2401610, 2401630 показав на досягнення запланованої цілі. Попередження і ліквідація аварій та аварійних ситуацій на вугледобувних підприємствах, фізичний захист об’єктів території колишнього уранового виробництва ВО «ПХЗ» та його хвостосховищ, реалізація державного інвестиційного проекту «Новокостянтинівська шахта. Розвиток виробничих потужностей», реконструкція гідроагрегатів ПрАТ «Укргідроенерго», погашення заборгованості із виплати заробітної плати на вугледобувних підприємствах забезпечують українцям зниження ризиків залишитися без енергозабезпечення.</w:t>
            </w:r>
          </w:p>
        </w:tc>
      </w:tr>
      <w:tr>
        <w:trPr>
          <w:cantSplit/>
          <w:trHeight w:val="397"/>
        </w:trPr>
        <w:tc>
          <w:tcPr>
            <w:tcW w:w="15309" w:type="dxa"/>
            <w:gridSpan w:val="6"/>
            <w:tcBorders>
              <w:top w:val="single" w:sz="4" w:space="0" w:color="auto"/>
              <w:left w:val="single" w:sz="4" w:space="0" w:color="auto"/>
              <w:bottom w:val="single" w:sz="4" w:space="0" w:color="auto"/>
              <w:right w:val="single" w:sz="4" w:space="0" w:color="auto"/>
            </w:tcBorders>
            <w:vAlign w:val="bottom"/>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Ціль 4</w:t>
            </w:r>
            <w:r>
              <w:rPr>
                <w:rFonts w:ascii="Times New Roman" w:hAnsi="Times New Roman" w:cs="Times New Roman"/>
                <w:b/>
                <w:color w:val="000000"/>
                <w:sz w:val="24"/>
                <w:szCs w:val="24"/>
              </w:rPr>
              <w:t xml:space="preserve"> Українці більш ефективно та ощадливо використовують природні ресурси</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Рівень готовності Звіту Ініціативи прозорості видобувних галузей України за 2017 рік (відс.)</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0</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Рівень готовності Звіту Ініціативи прозорості видобувних галузей України за 2019 рік (відс.)</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83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завершених прикладних наукових та науково-технічних розробок у поточному році, всього (од.)</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9</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0</w:t>
            </w:r>
          </w:p>
        </w:tc>
        <w:tc>
          <w:tcPr>
            <w:tcW w:w="183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11</w:t>
            </w:r>
          </w:p>
        </w:tc>
        <w:tc>
          <w:tcPr>
            <w:tcW w:w="1985"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12</w:t>
            </w:r>
          </w:p>
        </w:tc>
        <w:tc>
          <w:tcPr>
            <w:tcW w:w="1842"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 тому числі, впроваджених у поточному році (од.)</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0</w:t>
            </w:r>
          </w:p>
        </w:tc>
        <w:tc>
          <w:tcPr>
            <w:tcW w:w="183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5</w:t>
            </w:r>
          </w:p>
        </w:tc>
        <w:tc>
          <w:tcPr>
            <w:tcW w:w="1985"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w:t>
            </w:r>
          </w:p>
        </w:tc>
        <w:tc>
          <w:tcPr>
            <w:tcW w:w="1842"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-4</w:t>
            </w:r>
          </w:p>
        </w:tc>
      </w:tr>
      <w:tr>
        <w:trPr>
          <w:cantSplit/>
          <w:trHeight w:val="397"/>
        </w:trPr>
        <w:tc>
          <w:tcPr>
            <w:tcW w:w="15309" w:type="dxa"/>
            <w:gridSpan w:val="6"/>
            <w:tcBorders>
              <w:top w:val="single" w:sz="4" w:space="0" w:color="auto"/>
              <w:left w:val="single" w:sz="4" w:space="0" w:color="auto"/>
              <w:bottom w:val="single" w:sz="4" w:space="0" w:color="auto"/>
              <w:right w:val="single" w:sz="4" w:space="0" w:color="auto"/>
            </w:tcBorders>
            <w:vAlign w:val="bottom"/>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 xml:space="preserve">Висновок про досягнення цілі  </w:t>
            </w:r>
            <w:r>
              <w:rPr>
                <w:rFonts w:ascii="Times New Roman" w:eastAsia="Times New Roman" w:hAnsi="Times New Roman" w:cs="Times New Roman"/>
                <w:snapToGrid w:val="0"/>
                <w:color w:val="000000" w:themeColor="text1"/>
                <w:sz w:val="24"/>
                <w:szCs w:val="24"/>
                <w:lang w:eastAsia="ru-RU"/>
              </w:rPr>
              <w:t>Аналіз результативних показників бюджетних програм КПКВК 2401630 та КПКВК 2401040 показав на досягнення запланованої цілі. Впровадження Програми реформування та розвитку в енергетичному секторі України, поліпшення прозорості видобувних галузей та наукове забезпечення формування та реалізації державної політики у сфері ПЕК сприяють ефективному та ощадливому використанню природних ресурсів.</w:t>
            </w:r>
          </w:p>
        </w:tc>
      </w:tr>
      <w:tr>
        <w:trPr>
          <w:cantSplit/>
          <w:trHeight w:val="397"/>
        </w:trPr>
        <w:tc>
          <w:tcPr>
            <w:tcW w:w="15309" w:type="dxa"/>
            <w:gridSpan w:val="6"/>
            <w:tcBorders>
              <w:top w:val="single" w:sz="4" w:space="0" w:color="auto"/>
              <w:left w:val="single" w:sz="4" w:space="0" w:color="auto"/>
              <w:bottom w:val="single" w:sz="4" w:space="0" w:color="auto"/>
              <w:right w:val="single" w:sz="4" w:space="0" w:color="auto"/>
            </w:tcBorders>
            <w:vAlign w:val="bottom"/>
          </w:tcPr>
          <w:p>
            <w:pPr>
              <w:pStyle w:val="1"/>
              <w:rPr>
                <w:b/>
                <w:sz w:val="24"/>
                <w:szCs w:val="24"/>
                <w:lang w:val="uk-UA"/>
              </w:rPr>
            </w:pPr>
            <w:r>
              <w:rPr>
                <w:b/>
                <w:sz w:val="24"/>
                <w:szCs w:val="24"/>
                <w:lang w:val="uk-UA"/>
              </w:rPr>
              <w:t>Ціль 5 Запровадження ефективних правил діяльності енергетичних ринків, демонополізація та розвиток конкуренції на енергетичних ринках, разом із комерційним обліком ресурсів</w:t>
            </w:r>
          </w:p>
        </w:tc>
      </w:tr>
      <w:tr>
        <w:trPr>
          <w:cantSplit/>
          <w:trHeight w:val="397"/>
        </w:trPr>
        <w:tc>
          <w:tcPr>
            <w:tcW w:w="5529" w:type="dxa"/>
            <w:tcBorders>
              <w:top w:val="single" w:sz="4" w:space="0" w:color="auto"/>
              <w:left w:val="single" w:sz="4" w:space="0" w:color="auto"/>
              <w:bottom w:val="single" w:sz="4" w:space="0" w:color="auto"/>
              <w:right w:val="single" w:sz="4" w:space="0" w:color="auto"/>
            </w:tcBorders>
            <w:vAlign w:val="bottom"/>
          </w:tcPr>
          <w:p>
            <w:pPr>
              <w:pStyle w:val="1"/>
              <w:rPr>
                <w:sz w:val="24"/>
                <w:szCs w:val="24"/>
                <w:lang w:val="uk-UA"/>
              </w:rPr>
            </w:pPr>
            <w:r>
              <w:rPr>
                <w:color w:val="000000"/>
                <w:sz w:val="24"/>
                <w:szCs w:val="24"/>
                <w:lang w:val="uk-UA"/>
              </w:rPr>
              <w:t>Відсоток виділення коштів для компенсації акціонерному товариству "Національна акціонерна компанія "Нафтогаз України" економічно обґрунтованих витрат, здійснених з метою виконання покладених на нього відповідно до статті 11 Закону України "Про ринок природного газу" спеціальних обов'язків для забезпечення загальносуспільних інтересів у процесі функціонування ринку природного газу, зменшених на доходи, отримані у процесі виконання таких спеціальних обов'язків, та з урахуванням допустимого рівня прибутку (відс.)</w:t>
            </w:r>
          </w:p>
        </w:tc>
        <w:tc>
          <w:tcPr>
            <w:tcW w:w="212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99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w:t>
            </w:r>
          </w:p>
        </w:tc>
        <w:tc>
          <w:tcPr>
            <w:tcW w:w="183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100</w:t>
            </w:r>
          </w:p>
        </w:tc>
        <w:tc>
          <w:tcPr>
            <w:tcW w:w="1985"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100</w:t>
            </w:r>
          </w:p>
        </w:tc>
        <w:tc>
          <w:tcPr>
            <w:tcW w:w="1842"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p>
        </w:tc>
      </w:tr>
      <w:tr>
        <w:trPr>
          <w:cantSplit/>
          <w:trHeight w:val="397"/>
        </w:trPr>
        <w:tc>
          <w:tcPr>
            <w:tcW w:w="15309" w:type="dxa"/>
            <w:gridSpan w:val="6"/>
            <w:tcBorders>
              <w:top w:val="single" w:sz="4" w:space="0" w:color="auto"/>
              <w:left w:val="single" w:sz="4" w:space="0" w:color="auto"/>
              <w:bottom w:val="single" w:sz="4" w:space="0" w:color="auto"/>
              <w:right w:val="single" w:sz="4" w:space="0" w:color="auto"/>
            </w:tcBorders>
            <w:vAlign w:val="bottom"/>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eastAsia="Times New Roman" w:hAnsi="Times New Roman" w:cs="Times New Roman"/>
                <w:color w:val="FF0000"/>
                <w:sz w:val="24"/>
                <w:szCs w:val="24"/>
                <w:lang w:eastAsia="ru-RU"/>
              </w:rPr>
            </w:pPr>
            <w:r>
              <w:rPr>
                <w:rFonts w:ascii="Times New Roman" w:hAnsi="Times New Roman" w:cs="Times New Roman"/>
                <w:b/>
                <w:i/>
                <w:sz w:val="24"/>
                <w:szCs w:val="24"/>
              </w:rPr>
              <w:t xml:space="preserve">Висновок про досягнення цілі: </w:t>
            </w:r>
            <w:r>
              <w:rPr>
                <w:rFonts w:ascii="Times New Roman" w:eastAsia="Times New Roman" w:hAnsi="Times New Roman" w:cs="Times New Roman"/>
                <w:snapToGrid w:val="0"/>
                <w:color w:val="000000" w:themeColor="text1"/>
                <w:sz w:val="24"/>
                <w:szCs w:val="24"/>
                <w:lang w:eastAsia="ru-RU"/>
              </w:rPr>
              <w:t xml:space="preserve">Аналіз </w:t>
            </w:r>
            <w:r>
              <w:rPr>
                <w:rFonts w:ascii="Times New Roman" w:eastAsia="Times New Roman" w:hAnsi="Times New Roman" w:cs="Times New Roman"/>
                <w:color w:val="000000" w:themeColor="text1"/>
                <w:sz w:val="24"/>
                <w:szCs w:val="24"/>
                <w:lang w:eastAsia="ru-RU"/>
              </w:rPr>
              <w:t>результативних показників бюджетної програми КПКВК 2401380 показав на досягнення запланованої цілі. Для забезпечення загальносуспільних інтересів у процесі функціонування ринку природного газу та на виконання статті 11 Закону України «Про ринок природного газу» виділені кошти державного бюджету для компенсації НАК «Нафтогаз України» економічно обґрунтованих витрат, зменшених на доходи, отримані у процесі виконання покладених на Компанію спеціальних обов'язків, та з урахуванням допустимого рівня прибутку.</w:t>
            </w:r>
          </w:p>
        </w:tc>
      </w:tr>
    </w:tbl>
    <w:p>
      <w:pPr>
        <w:pStyle w:val="3"/>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Мета, завдання та результативні показники бюджетних програм у 2020 році </w:t>
      </w:r>
    </w:p>
    <w:p>
      <w:pPr>
        <w:pStyle w:val="3"/>
        <w:spacing w:before="120"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3.1.</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2401010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0434</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Загальне керівництво та управління у сфері енергетики</w:t>
            </w:r>
          </w:p>
        </w:tc>
      </w:tr>
      <w:tr>
        <w:tblPrEx>
          <w:tblLook w:val="0000" w:firstRow="0" w:lastRow="0" w:firstColumn="0" w:lastColumn="0" w:noHBand="0" w:noVBand="0"/>
        </w:tblPrEx>
        <w:trPr>
          <w:gridAfter w:val="1"/>
          <w:wAfter w:w="21" w:type="dxa"/>
          <w:trHeight w:val="778"/>
        </w:trPr>
        <w:tc>
          <w:tcPr>
            <w:tcW w:w="15368" w:type="dxa"/>
            <w:gridSpan w:val="5"/>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s="Times New Roman"/>
                <w:sz w:val="24"/>
              </w:rPr>
            </w:pP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Реалізація державної політики у сфері паливно-енергетичного комплексу</w:t>
            </w:r>
          </w:p>
          <w:p>
            <w:pPr>
              <w:spacing w:after="0" w:line="240" w:lineRule="auto"/>
              <w:rPr>
                <w:rFonts w:ascii="Times New Roman" w:hAnsi="Times New Roman" w:cs="Times New Roman"/>
                <w:sz w:val="24"/>
              </w:rPr>
            </w:pP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rPr>
            </w:pPr>
            <w:r>
              <w:rPr>
                <w:rFonts w:ascii="Times New Roman" w:hAnsi="Times New Roman" w:cs="Times New Roman"/>
                <w:sz w:val="24"/>
              </w:rPr>
              <w:t>Завдання бюджетної програми</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Забезпечення виконання функцій у сфері паливно-енергетичного комплексу</w:t>
            </w:r>
            <w:r>
              <w:rPr>
                <w:rFonts w:ascii="Times New Roman" w:hAnsi="Times New Roman" w:cs="Times New Roman"/>
                <w:sz w:val="24"/>
                <w:szCs w:val="24"/>
              </w:rPr>
              <w:t> </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Сплата щорічного внеску на діяльність Центру передового досвіду НАТО з питань енергетичної безпеки</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Видатки на утримання представника України  щодо забезпечення діяльності Центру передового досвіду НАТО з питань енергетичної  безпеки, пов'язані з довготерміновим відрядженням</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Організація та проведення конкурсів на укладання угод про розподіл вуглеводнів</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Утримання та облаштування бюджетних установ за рахунок коштів, отриманих за оренду майна бюджетних установ</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Проведення комплексу заходів з технічного захисту інформації</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247 862,9</w:t>
            </w:r>
          </w:p>
        </w:tc>
        <w:tc>
          <w:tcPr>
            <w:tcW w:w="3270" w:type="dxa"/>
            <w:vAlign w:val="center"/>
          </w:tcPr>
          <w:p>
            <w:pPr>
              <w:jc w:val="center"/>
              <w:rPr>
                <w:sz w:val="24"/>
                <w:szCs w:val="24"/>
              </w:rPr>
            </w:pPr>
            <w:r>
              <w:rPr>
                <w:sz w:val="24"/>
                <w:szCs w:val="24"/>
              </w:rPr>
              <w:t>240 465,1</w:t>
            </w:r>
          </w:p>
        </w:tc>
        <w:tc>
          <w:tcPr>
            <w:tcW w:w="2976" w:type="dxa"/>
          </w:tcPr>
          <w:p>
            <w:pPr>
              <w:jc w:val="center"/>
              <w:rPr>
                <w:sz w:val="24"/>
                <w:szCs w:val="24"/>
              </w:rPr>
            </w:pPr>
            <w:r>
              <w:rPr>
                <w:sz w:val="24"/>
                <w:szCs w:val="24"/>
              </w:rPr>
              <w:t>-7 397,8</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2</w:t>
            </w:r>
            <w:r>
              <w:rPr>
                <w:sz w:val="24"/>
                <w:szCs w:val="24"/>
                <w:lang w:val="ru-RU"/>
              </w:rPr>
              <w:t>38</w:t>
            </w:r>
            <w:r>
              <w:rPr>
                <w:sz w:val="24"/>
                <w:szCs w:val="24"/>
              </w:rPr>
              <w:t> 605,9</w:t>
            </w:r>
          </w:p>
        </w:tc>
        <w:tc>
          <w:tcPr>
            <w:tcW w:w="3270" w:type="dxa"/>
            <w:vAlign w:val="center"/>
          </w:tcPr>
          <w:p>
            <w:pPr>
              <w:jc w:val="center"/>
              <w:rPr>
                <w:sz w:val="24"/>
                <w:szCs w:val="24"/>
              </w:rPr>
            </w:pPr>
            <w:r>
              <w:rPr>
                <w:sz w:val="24"/>
                <w:szCs w:val="24"/>
              </w:rPr>
              <w:t>233 804,7</w:t>
            </w:r>
          </w:p>
        </w:tc>
        <w:tc>
          <w:tcPr>
            <w:tcW w:w="2976" w:type="dxa"/>
          </w:tcPr>
          <w:p>
            <w:pPr>
              <w:jc w:val="center"/>
              <w:rPr>
                <w:sz w:val="24"/>
                <w:szCs w:val="24"/>
              </w:rPr>
            </w:pPr>
            <w:r>
              <w:rPr>
                <w:sz w:val="24"/>
                <w:szCs w:val="24"/>
              </w:rPr>
              <w:t>-4 801,2</w:t>
            </w:r>
          </w:p>
        </w:tc>
      </w:tr>
      <w:tr>
        <w:trPr>
          <w:trHeight w:val="397"/>
          <w:jc w:val="center"/>
        </w:trPr>
        <w:tc>
          <w:tcPr>
            <w:tcW w:w="5931" w:type="dxa"/>
            <w:vAlign w:val="center"/>
          </w:tcPr>
          <w:p>
            <w:pPr>
              <w:rPr>
                <w:sz w:val="24"/>
                <w:szCs w:val="24"/>
                <w:lang w:val="ru-RU"/>
              </w:rPr>
            </w:pPr>
            <w:r>
              <w:rPr>
                <w:sz w:val="24"/>
                <w:szCs w:val="24"/>
              </w:rPr>
              <w:t xml:space="preserve">          спеціальний фонд</w:t>
            </w:r>
          </w:p>
        </w:tc>
        <w:tc>
          <w:tcPr>
            <w:tcW w:w="3269" w:type="dxa"/>
            <w:vAlign w:val="center"/>
          </w:tcPr>
          <w:p>
            <w:pPr>
              <w:jc w:val="center"/>
              <w:rPr>
                <w:sz w:val="24"/>
                <w:szCs w:val="24"/>
              </w:rPr>
            </w:pPr>
            <w:r>
              <w:rPr>
                <w:sz w:val="24"/>
                <w:szCs w:val="24"/>
              </w:rPr>
              <w:t>9 257,0</w:t>
            </w:r>
          </w:p>
        </w:tc>
        <w:tc>
          <w:tcPr>
            <w:tcW w:w="3270" w:type="dxa"/>
            <w:vAlign w:val="center"/>
          </w:tcPr>
          <w:p>
            <w:pPr>
              <w:jc w:val="center"/>
              <w:rPr>
                <w:sz w:val="24"/>
                <w:szCs w:val="24"/>
              </w:rPr>
            </w:pPr>
            <w:r>
              <w:rPr>
                <w:sz w:val="24"/>
                <w:szCs w:val="24"/>
              </w:rPr>
              <w:t>6 660,4</w:t>
            </w:r>
          </w:p>
        </w:tc>
        <w:tc>
          <w:tcPr>
            <w:tcW w:w="2976" w:type="dxa"/>
          </w:tcPr>
          <w:p>
            <w:pPr>
              <w:jc w:val="center"/>
              <w:rPr>
                <w:sz w:val="24"/>
                <w:szCs w:val="24"/>
              </w:rPr>
            </w:pPr>
            <w:r>
              <w:rPr>
                <w:sz w:val="24"/>
                <w:szCs w:val="24"/>
              </w:rPr>
              <w:t>-2 596,6</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lastRenderedPageBreak/>
              <w:t>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Одиниця </w:t>
            </w:r>
            <w:r>
              <w:rPr>
                <w:rFonts w:ascii="Times New Roman" w:hAnsi="Times New Roman" w:cs="Times New Roman"/>
                <w:sz w:val="24"/>
                <w:szCs w:val="24"/>
              </w:rPr>
              <w:lastRenderedPageBreak/>
              <w:t>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Фактичні результативні </w:t>
            </w:r>
            <w:r>
              <w:rPr>
                <w:rFonts w:ascii="Times New Roman" w:hAnsi="Times New Roman" w:cs="Times New Roman"/>
                <w:sz w:val="24"/>
                <w:szCs w:val="24"/>
              </w:rPr>
              <w:lastRenderedPageBreak/>
              <w:t>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Відхилення фактичних від </w:t>
            </w:r>
            <w:r>
              <w:rPr>
                <w:rFonts w:ascii="Times New Roman" w:hAnsi="Times New Roman" w:cs="Times New Roman"/>
                <w:sz w:val="24"/>
                <w:szCs w:val="24"/>
              </w:rPr>
              <w:lastRenderedPageBreak/>
              <w:t>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прийнятих і опрацьованих звітів фінансово-господарської діяльності установ, організацій та підприємств, що належать до сфери управління Міністерства</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1192</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1192</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3209</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розглянутих і підготовлених нормативно-правових актів та законопроектів</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olor w:val="000000"/>
                <w:sz w:val="24"/>
                <w:szCs w:val="24"/>
              </w:rPr>
              <w:t>Кількість затверджених фінансових планів підвідомчих економічно активних підприємств (установ, організацій)</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olor w:val="000000"/>
                <w:sz w:val="24"/>
                <w:szCs w:val="24"/>
              </w:rPr>
              <w:t>Рівень вчасно прийнятих і опрацьованих звітів фінансово-господарської діяльності установ, організацій та підприємств, що належать до сфери управління Міненерго</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Розбіжність між затвердженим та фактичним показником 1 пояснюється збільшенням кількості фактично прийнятих та опрацьованих звітів.</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Відповідно до постанови Кабінету Міністрів України від 27.05.2020 № 425 "Деякі питання оптимізації системи центральних органів виконавчої </w:t>
            </w:r>
            <w:r>
              <w:rPr>
                <w:rFonts w:ascii="Times New Roman" w:hAnsi="Times New Roman"/>
                <w:color w:val="000000"/>
                <w:sz w:val="24"/>
                <w:szCs w:val="24"/>
              </w:rPr>
              <w:lastRenderedPageBreak/>
              <w:t>влади" Міністерство енергетики та захисту довкілля України перейменовано на Міністерство енергетики України. Міністерство енергетики є правонаступником прав, обов'язків та майна Міністерства енергетики та захисту довкілля у відповідних сферах, у зв'язку з чим до плану було включено виключно звітність підприємств та одержувачів бюджетних коштів, що мали залишитися у сфері управління Міненерго. По факту Міненерго у 2020 році прийнято фінансову та бюджетну звітність, у тому числі ліквідаційну, від розпорядників бюджетних коштів нижчого рівня та одержувачів бюджетних коштів, діяльність яких відноситься до сфери охорони навколишнього природного середовища, екологічної безпеки тощо, так як до вересня 2020 року зазначені розпорядники та одержувачі бюджетних коштів обліковувалися у Державній казначейській службі за кодом відомчої класифікації видатків та кредитування (КВК) 240 Міненерго.</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Розбіжність між затвердженим та фактичним показником 2 пояснюється збільшенням кількості розглянутих і підготовлених нормативно-правових актів та законопроектів.</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Розбіжність між затвердженим та фактичним показником 3 пояснюється збільшенням кількості затверджених фінансових планів. Протягом 2020 року затверджено 95 фінансових планів, у тому числі: фінплани на 2021 рік - 19 (електроенергетична галузь -10, нафтогазова галузь -1, вугільна  галузь - 8); змінені фінплани на 2020 рік - 48 (вугільна галузь - 45; електроенергетична галузь - 3); фінплани на 2020 рік (порушення строків затвердження) - 28 (електроенергетична галузь - 4, вугільна галузь - 24).</w:t>
            </w:r>
          </w:p>
          <w:p>
            <w:pPr>
              <w:spacing w:after="0" w:line="240" w:lineRule="auto"/>
              <w:jc w:val="center"/>
              <w:rPr>
                <w:rFonts w:ascii="Times New Roman" w:hAnsi="Times New Roman" w:cs="Times New Roman"/>
                <w:sz w:val="24"/>
                <w:szCs w:val="24"/>
              </w:rPr>
            </w:pP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Узагальнений висновок про досягнення запланованої мети, завдань бюджетної програми:</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Передбачені видатки за бюджетною програмою КПКВК 2401010 «Загальне керівництво та управління у сфері енергетики» дали можливість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досягти мети бюджетної програми та забезпечити виконання завдань. </w:t>
      </w:r>
    </w:p>
    <w:p>
      <w:pPr>
        <w:pStyle w:val="3"/>
        <w:spacing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3.2.</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2401040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0530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Наукова і науково-технічна діяльність у сфері енергетики</w:t>
            </w:r>
          </w:p>
        </w:tc>
      </w:tr>
      <w:tr>
        <w:tblPrEx>
          <w:tblLook w:val="0000" w:firstRow="0" w:lastRow="0" w:firstColumn="0" w:lastColumn="0" w:noHBand="0" w:noVBand="0"/>
        </w:tblPrEx>
        <w:trPr>
          <w:gridAfter w:val="1"/>
          <w:wAfter w:w="21" w:type="dxa"/>
          <w:trHeight w:val="778"/>
        </w:trPr>
        <w:tc>
          <w:tcPr>
            <w:tcW w:w="15368" w:type="dxa"/>
            <w:gridSpan w:val="5"/>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s="Times New Roman"/>
                <w:sz w:val="24"/>
              </w:rPr>
            </w:pP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Проведення досліджень та забезпечення реалізації науково та науково-технічної розробки у сфері паливно-енергетичного комплексу</w:t>
            </w:r>
          </w:p>
          <w:p>
            <w:pPr>
              <w:spacing w:after="0" w:line="240" w:lineRule="auto"/>
              <w:rPr>
                <w:rFonts w:ascii="Times New Roman" w:hAnsi="Times New Roman" w:cs="Times New Roman"/>
                <w:sz w:val="24"/>
              </w:rPr>
            </w:pP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rPr>
            </w:pPr>
            <w:r>
              <w:rPr>
                <w:rFonts w:ascii="Times New Roman" w:hAnsi="Times New Roman" w:cs="Times New Roman"/>
                <w:sz w:val="24"/>
              </w:rPr>
              <w:t>Завдання бюджетної програми</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Наукове забезпечення формування та реалізації державної політики у сфері ПЕК, розроблення заходів щодо забезпечення надійності, безпечної експлуатації об'єктів ПЕК</w:t>
            </w:r>
            <w:r>
              <w:rPr>
                <w:rFonts w:ascii="Times New Roman" w:hAnsi="Times New Roman" w:cs="Times New Roman"/>
                <w:sz w:val="24"/>
                <w:szCs w:val="24"/>
              </w:rPr>
              <w:t> </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lastRenderedPageBreak/>
              <w:t>Всього</w:t>
            </w:r>
          </w:p>
        </w:tc>
        <w:tc>
          <w:tcPr>
            <w:tcW w:w="3269" w:type="dxa"/>
          </w:tcPr>
          <w:p>
            <w:pPr>
              <w:jc w:val="center"/>
              <w:rPr>
                <w:sz w:val="24"/>
                <w:szCs w:val="24"/>
              </w:rPr>
            </w:pPr>
            <w:r>
              <w:rPr>
                <w:sz w:val="24"/>
                <w:szCs w:val="24"/>
              </w:rPr>
              <w:t>8 396,1</w:t>
            </w:r>
          </w:p>
        </w:tc>
        <w:tc>
          <w:tcPr>
            <w:tcW w:w="3270" w:type="dxa"/>
            <w:vAlign w:val="center"/>
          </w:tcPr>
          <w:p>
            <w:pPr>
              <w:jc w:val="center"/>
              <w:rPr>
                <w:sz w:val="24"/>
                <w:szCs w:val="24"/>
              </w:rPr>
            </w:pPr>
            <w:r>
              <w:rPr>
                <w:sz w:val="24"/>
                <w:szCs w:val="24"/>
              </w:rPr>
              <w:t>5 900,3</w:t>
            </w:r>
          </w:p>
        </w:tc>
        <w:tc>
          <w:tcPr>
            <w:tcW w:w="2976" w:type="dxa"/>
          </w:tcPr>
          <w:p>
            <w:pPr>
              <w:jc w:val="center"/>
              <w:rPr>
                <w:sz w:val="24"/>
                <w:szCs w:val="24"/>
              </w:rPr>
            </w:pPr>
            <w:r>
              <w:rPr>
                <w:sz w:val="24"/>
                <w:szCs w:val="24"/>
              </w:rPr>
              <w:t>-2 495,8</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8 396,1</w:t>
            </w:r>
          </w:p>
        </w:tc>
        <w:tc>
          <w:tcPr>
            <w:tcW w:w="3270" w:type="dxa"/>
            <w:vAlign w:val="center"/>
          </w:tcPr>
          <w:p>
            <w:pPr>
              <w:jc w:val="center"/>
              <w:rPr>
                <w:sz w:val="24"/>
                <w:szCs w:val="24"/>
              </w:rPr>
            </w:pPr>
            <w:r>
              <w:rPr>
                <w:sz w:val="24"/>
                <w:szCs w:val="24"/>
              </w:rPr>
              <w:t>5 900,3</w:t>
            </w:r>
          </w:p>
        </w:tc>
        <w:tc>
          <w:tcPr>
            <w:tcW w:w="2976" w:type="dxa"/>
          </w:tcPr>
          <w:p>
            <w:pPr>
              <w:jc w:val="center"/>
              <w:rPr>
                <w:sz w:val="24"/>
                <w:szCs w:val="24"/>
              </w:rPr>
            </w:pPr>
            <w:r>
              <w:rPr>
                <w:sz w:val="24"/>
                <w:szCs w:val="24"/>
              </w:rPr>
              <w:t>-2 495,8</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завершених прикладних наукових та науково-технічних розробок у поточному році, всього</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 тому числі, впроваджених у поточному році</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Частка прикладних наукових та науково-технічних розробок, які виконуються за пріоритетними напрямами у загальній їх кількості</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Частка завершених у поточному році прикладних наукових та науково-технічних розробок у загальній їх кількості</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47,8</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92,3</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44,5</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Збільшення кількості завершених робіт у зв'язку з наданням пропозицій від секції НТР "Вугільна промисловість" до Тематики наукових досліджень і науково-технічних (експериментальних) розробок Міненерго на 2020 рік у сфері паливно-енергетичного комплексу.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Зменшення кількості впроваджених робіт у зв'язку з оплатою робіт у кінці поточного року.</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Зменшення частки прикладних наукових та науково-технічних розробок з пріоритетних напрямів у загальній їх кількості пов'язана з уточненням </w:t>
            </w:r>
            <w:r>
              <w:rPr>
                <w:rFonts w:ascii="Times New Roman" w:hAnsi="Times New Roman" w:cs="Times New Roman"/>
                <w:sz w:val="24"/>
                <w:szCs w:val="24"/>
              </w:rPr>
              <w:lastRenderedPageBreak/>
              <w:t>Тематики наукових досліджень і науково-технічних (експериментальних) розробок Міненерго на 2020 рік у сфері паливно-енергетичного комплексу.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Збільшення частки завершених прикладних наукових та науково-технічних розробок у загальній їх кількості пов'язана з уточненням Тематики наукових досліджень і науково-технічних (експериментальних) розробок Міненерго на 2020 рік у сфері паливно-енергетичного комплексу.</w:t>
            </w:r>
          </w:p>
          <w:p>
            <w:pPr>
              <w:spacing w:after="0" w:line="240" w:lineRule="auto"/>
              <w:jc w:val="center"/>
              <w:rPr>
                <w:rFonts w:ascii="Times New Roman" w:hAnsi="Times New Roman" w:cs="Times New Roman"/>
                <w:sz w:val="24"/>
                <w:szCs w:val="24"/>
              </w:rPr>
            </w:pP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Узагальнений висновок про досягнення запланованої мети, завдань бюджетної програми:</w:t>
      </w:r>
    </w:p>
    <w:p>
      <w:pPr>
        <w:pStyle w:val="3"/>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У 2020 році за рахунок видатків передбачених за бюджетною програмою КПКВК 2401040 «Наукова і науково-технічна діяльність у сфері енергетики» проведені прикладні наукові та науково-технічні розробки. Впровадження їх результатів сприяло підвищенню наукового потенціалу паливно-енергетичного комплексу, комплексному вирішенню проблем та реалізації науково-технічної політики в електроенергетичному, ядерно-промисловому, вугільно-промисловому, торфодобувному та нафтогазовому комплексах.</w:t>
      </w: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3.3.</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2401070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0431</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Заходи з ліквідації неперспективних вугледобувних підприємств </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spacing w:after="0" w:line="240" w:lineRule="auto"/>
              <w:rPr>
                <w:rFonts w:ascii="Times New Roman" w:hAnsi="Times New Roman" w:cs="Times New Roman"/>
                <w:sz w:val="24"/>
              </w:rPr>
            </w:pPr>
            <w:r>
              <w:rPr>
                <w:rFonts w:ascii="Times New Roman" w:hAnsi="Times New Roman" w:cs="Times New Roman"/>
                <w:sz w:val="24"/>
              </w:rPr>
              <w:t>Ліквідація неперспективних вугледобувних підприємств</w:t>
            </w: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Завдання бюджетної програми</w:t>
            </w:r>
          </w:p>
          <w:p>
            <w:pPr>
              <w:spacing w:after="0" w:line="240" w:lineRule="auto"/>
              <w:rPr>
                <w:rFonts w:ascii="Times New Roman" w:hAnsi="Times New Roman" w:cs="Times New Roman"/>
              </w:rPr>
            </w:pP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Підготовка до ліквідації неперспективних вугледобувних підприємств</w:t>
            </w:r>
            <w:r>
              <w:rPr>
                <w:rFonts w:ascii="Times New Roman" w:hAnsi="Times New Roman" w:cs="Times New Roman"/>
                <w:sz w:val="24"/>
                <w:szCs w:val="24"/>
              </w:rPr>
              <w:t> </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rPr>
              <w:t>2</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Здійснення заходів з ліквідації (юридичної та фізичної) вугледобувних підприємств</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Забезпечення утримання водовідливних комплексів у безпечному стані</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494 236,6</w:t>
            </w:r>
          </w:p>
        </w:tc>
        <w:tc>
          <w:tcPr>
            <w:tcW w:w="3270" w:type="dxa"/>
            <w:vAlign w:val="center"/>
          </w:tcPr>
          <w:p>
            <w:pPr>
              <w:jc w:val="center"/>
              <w:rPr>
                <w:sz w:val="24"/>
                <w:szCs w:val="24"/>
              </w:rPr>
            </w:pPr>
            <w:r>
              <w:rPr>
                <w:sz w:val="24"/>
                <w:szCs w:val="24"/>
              </w:rPr>
              <w:t>265 421,9</w:t>
            </w:r>
          </w:p>
        </w:tc>
        <w:tc>
          <w:tcPr>
            <w:tcW w:w="2976" w:type="dxa"/>
          </w:tcPr>
          <w:p>
            <w:pPr>
              <w:jc w:val="center"/>
              <w:rPr>
                <w:sz w:val="24"/>
                <w:szCs w:val="24"/>
              </w:rPr>
            </w:pPr>
            <w:r>
              <w:rPr>
                <w:sz w:val="24"/>
                <w:szCs w:val="24"/>
              </w:rPr>
              <w:t>-228 814,7</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494 236,6</w:t>
            </w:r>
          </w:p>
        </w:tc>
        <w:tc>
          <w:tcPr>
            <w:tcW w:w="3270" w:type="dxa"/>
            <w:vAlign w:val="center"/>
          </w:tcPr>
          <w:p>
            <w:pPr>
              <w:jc w:val="center"/>
              <w:rPr>
                <w:sz w:val="24"/>
                <w:szCs w:val="24"/>
              </w:rPr>
            </w:pPr>
            <w:r>
              <w:rPr>
                <w:sz w:val="24"/>
                <w:szCs w:val="24"/>
              </w:rPr>
              <w:t>265 421,9</w:t>
            </w:r>
          </w:p>
        </w:tc>
        <w:tc>
          <w:tcPr>
            <w:tcW w:w="2976" w:type="dxa"/>
          </w:tcPr>
          <w:p>
            <w:pPr>
              <w:jc w:val="center"/>
              <w:rPr>
                <w:sz w:val="24"/>
                <w:szCs w:val="24"/>
              </w:rPr>
            </w:pPr>
            <w:r>
              <w:rPr>
                <w:sz w:val="24"/>
                <w:szCs w:val="24"/>
              </w:rPr>
              <w:t>-228 814,7</w:t>
            </w:r>
          </w:p>
        </w:tc>
      </w:tr>
      <w:tr>
        <w:trPr>
          <w:trHeight w:val="397"/>
          <w:jc w:val="center"/>
        </w:trPr>
        <w:tc>
          <w:tcPr>
            <w:tcW w:w="5931" w:type="dxa"/>
            <w:vAlign w:val="center"/>
          </w:tcPr>
          <w:p>
            <w:pPr>
              <w:rPr>
                <w:sz w:val="24"/>
                <w:szCs w:val="24"/>
                <w:lang w:val="en-US"/>
              </w:rPr>
            </w:pPr>
            <w:r>
              <w:rPr>
                <w:sz w:val="24"/>
                <w:szCs w:val="24"/>
              </w:rPr>
              <w:lastRenderedPageBreak/>
              <w:t xml:space="preserve">          спеціальний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337"/>
        <w:gridCol w:w="942"/>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33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4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33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шахт, на яких завершені заходи з підготовки до ліквідації</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вугільних підприємств, по яким у поточному році завершуються роботи за проектами ліквідації у повному обсязі</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3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olor w:val="000000"/>
                <w:sz w:val="24"/>
                <w:szCs w:val="24"/>
              </w:rPr>
              <w:t>Обсяг відкачаної води водовідливними комплексами, вартість по утриманню яких не включена до вартості проектів ліквідації</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тис.куб.м </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1030,3</w:t>
            </w:r>
          </w:p>
        </w:tc>
        <w:tc>
          <w:tcPr>
            <w:tcW w:w="133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1030,3</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230,3</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230,3</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Рівень виконання робіт за проектами ліквідації шахт з початку їх виконання на кінець року</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w:t>
            </w:r>
          </w:p>
        </w:tc>
        <w:tc>
          <w:tcPr>
            <w:tcW w:w="133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spacing w:after="0" w:line="240" w:lineRule="auto"/>
              <w:rPr>
                <w:rFonts w:ascii="Times New Roman" w:hAnsi="Times New Roman" w:cs="Times New Roman"/>
                <w:sz w:val="24"/>
                <w:szCs w:val="24"/>
              </w:rPr>
            </w:pPr>
            <w:r>
              <w:rPr>
                <w:rFonts w:ascii="Times New Roman" w:hAnsi="Times New Roman" w:cs="Times New Roman"/>
                <w:sz w:val="24"/>
                <w:szCs w:val="24"/>
              </w:rPr>
              <w:t>Фактичний показник "Кількість шахт на яких, завершені заходи з підготовки до ліквідації" менший від заплановано на 3 од., у зв'язку  із затримкою отримання висновку з оцінки впливу на довкілля; неотриманням вугледобувними підприємствами що знаходяться на стадії підготовки до ліквідації позитивного висновка комплексної державної експертизи до проекту ліквідації.</w:t>
            </w:r>
          </w:p>
          <w:p>
            <w:pPr>
              <w:spacing w:after="0" w:line="240" w:lineRule="auto"/>
              <w:rPr>
                <w:rFonts w:ascii="Times New Roman" w:hAnsi="Times New Roman" w:cs="Times New Roman"/>
                <w:sz w:val="24"/>
                <w:szCs w:val="24"/>
              </w:rPr>
            </w:pPr>
            <w:r>
              <w:rPr>
                <w:rFonts w:ascii="Times New Roman" w:hAnsi="Times New Roman" w:cs="Times New Roman"/>
                <w:sz w:val="24"/>
                <w:szCs w:val="24"/>
              </w:rPr>
              <w:t>Фактичний показник "Кількість вугільних підприємств, по яким у поточному році завершуються роботи за проектами ліквідації у повному обсязі" менший від планового на 2 од. у зв'язку з невиконання в повному обсязі запланованих об’ємів робіт, внаслідок неодноразового, протягом року,  призупинення платежів  ГУ ДКСУ м. Києва.</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Фактичний показник "Обсяг відкачаної води водовідливними комплексами, вартість по утриманню яких не включена до вартості проектів </w:t>
            </w:r>
            <w:r>
              <w:rPr>
                <w:rFonts w:ascii="Times New Roman" w:hAnsi="Times New Roman" w:cs="Times New Roman"/>
                <w:sz w:val="24"/>
                <w:szCs w:val="24"/>
              </w:rPr>
              <w:lastRenderedPageBreak/>
              <w:t>ліквідації" на 230,3 тис.куб.м. більший від запланованого у зв'язку з фактичними умовами експлуатації водовідливних комплексів, погодними умовами та збільшення фактичного припливу води.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Фактично показник "Рівень виконання робіт за проектами ліквідації шахт з початку їх виконання на кінець року" нижчий від запланованого на 10,5 %, у зв’язку із зменшенням касових видатків на ліквідацію вугледобувних підприємств.</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Узагальнений висновок про досягнення запланованої мети, завдань бюджетної програми:</w:t>
      </w:r>
    </w:p>
    <w:p>
      <w:pPr>
        <w:pStyle w:val="3"/>
        <w:spacing w:before="120" w:after="0" w:line="240" w:lineRule="auto"/>
        <w:jc w:val="both"/>
        <w:rPr>
          <w:rFonts w:ascii="Times New Roman" w:hAnsi="Times New Roman" w:cs="Times New Roman"/>
          <w:b/>
          <w:sz w:val="24"/>
          <w:szCs w:val="24"/>
        </w:rPr>
      </w:pPr>
      <w:r>
        <w:rPr>
          <w:rFonts w:ascii="Times New Roman" w:hAnsi="Times New Roman" w:cs="Times New Roman"/>
          <w:sz w:val="24"/>
          <w:szCs w:val="24"/>
        </w:rPr>
        <w:t>Кошти державного бюджету у 2020 році за бюджетною програмою</w:t>
      </w:r>
      <w:r>
        <w:t xml:space="preserve"> </w:t>
      </w:r>
      <w:r>
        <w:rPr>
          <w:rFonts w:ascii="Times New Roman" w:hAnsi="Times New Roman" w:cs="Times New Roman"/>
          <w:sz w:val="24"/>
          <w:szCs w:val="24"/>
        </w:rPr>
        <w:t xml:space="preserve">КПКВК 2401070 «Заходи з ліквідації неперспективних вугледобувних підприємств» використані з метою підвищення функціонування вугільної промисловості шляхом виконання робіт і здійснення заходів з підготовки до ліквідації неперспективних вугледобувних підприємств, здійснення заходів з ліквідації вугледобувних підприємств та забезпечення утримання водовідливних комплексів у безпечному стані. </w:t>
      </w:r>
    </w:p>
    <w:p>
      <w:pPr>
        <w:pStyle w:val="3"/>
        <w:spacing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3.4.</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2401100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0320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Гірничорятувальні заходи на вугледобувних підприємствах</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spacing w:after="0" w:line="240" w:lineRule="auto"/>
              <w:rPr>
                <w:rFonts w:ascii="Times New Roman" w:hAnsi="Times New Roman" w:cs="Times New Roman"/>
                <w:sz w:val="24"/>
              </w:rPr>
            </w:pPr>
            <w:r>
              <w:rPr>
                <w:rFonts w:ascii="Times New Roman" w:hAnsi="Times New Roman" w:cs="Times New Roman"/>
                <w:sz w:val="24"/>
              </w:rPr>
              <w:t>Забезпечення сталої роботи підприємств з видобутку вугілля, мінімізація втрат вугільної галузі під час попередження і ліквідації аварій та аварійних ситуацій</w:t>
            </w: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Завдання бюджетної програми</w:t>
            </w:r>
          </w:p>
          <w:p>
            <w:pPr>
              <w:spacing w:after="0" w:line="240" w:lineRule="auto"/>
              <w:rPr>
                <w:rFonts w:ascii="Times New Roman" w:hAnsi="Times New Roman" w:cs="Times New Roman"/>
              </w:rPr>
            </w:pP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Проведення аварійно-рятувальних робіт </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rPr>
              <w:t>2</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Ліквідація надзвичайних ситуацій</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Виконання робіт із запобігання виникненню та мінімізації наслідків надзвичайних ситуацій</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Виконання робіт протиаварійного призначення</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290 000,0</w:t>
            </w:r>
          </w:p>
        </w:tc>
        <w:tc>
          <w:tcPr>
            <w:tcW w:w="3270" w:type="dxa"/>
            <w:vAlign w:val="center"/>
          </w:tcPr>
          <w:p>
            <w:pPr>
              <w:jc w:val="center"/>
              <w:rPr>
                <w:sz w:val="24"/>
                <w:szCs w:val="24"/>
              </w:rPr>
            </w:pPr>
            <w:r>
              <w:rPr>
                <w:sz w:val="24"/>
                <w:szCs w:val="24"/>
              </w:rPr>
              <w:t>289 986,3</w:t>
            </w:r>
          </w:p>
        </w:tc>
        <w:tc>
          <w:tcPr>
            <w:tcW w:w="2976" w:type="dxa"/>
          </w:tcPr>
          <w:p>
            <w:pPr>
              <w:jc w:val="center"/>
              <w:rPr>
                <w:sz w:val="24"/>
                <w:szCs w:val="24"/>
              </w:rPr>
            </w:pPr>
            <w:r>
              <w:rPr>
                <w:sz w:val="24"/>
                <w:szCs w:val="24"/>
              </w:rPr>
              <w:t>-13,7</w:t>
            </w:r>
          </w:p>
        </w:tc>
      </w:tr>
      <w:tr>
        <w:trPr>
          <w:trHeight w:val="397"/>
          <w:jc w:val="center"/>
        </w:trPr>
        <w:tc>
          <w:tcPr>
            <w:tcW w:w="5931" w:type="dxa"/>
            <w:vAlign w:val="center"/>
          </w:tcPr>
          <w:p>
            <w:pPr>
              <w:rPr>
                <w:sz w:val="24"/>
                <w:szCs w:val="24"/>
              </w:rPr>
            </w:pPr>
            <w:r>
              <w:rPr>
                <w:sz w:val="24"/>
                <w:szCs w:val="24"/>
              </w:rPr>
              <w:lastRenderedPageBreak/>
              <w:t>у т. ч. загальний фонд</w:t>
            </w:r>
          </w:p>
        </w:tc>
        <w:tc>
          <w:tcPr>
            <w:tcW w:w="3269" w:type="dxa"/>
            <w:vAlign w:val="center"/>
          </w:tcPr>
          <w:p>
            <w:pPr>
              <w:jc w:val="center"/>
              <w:rPr>
                <w:sz w:val="24"/>
                <w:szCs w:val="24"/>
              </w:rPr>
            </w:pPr>
            <w:r>
              <w:rPr>
                <w:sz w:val="24"/>
                <w:szCs w:val="24"/>
              </w:rPr>
              <w:t>290 000,0</w:t>
            </w:r>
          </w:p>
        </w:tc>
        <w:tc>
          <w:tcPr>
            <w:tcW w:w="3270" w:type="dxa"/>
            <w:vAlign w:val="center"/>
          </w:tcPr>
          <w:p>
            <w:pPr>
              <w:jc w:val="center"/>
              <w:rPr>
                <w:sz w:val="24"/>
                <w:szCs w:val="24"/>
              </w:rPr>
            </w:pPr>
            <w:r>
              <w:rPr>
                <w:sz w:val="24"/>
                <w:szCs w:val="24"/>
              </w:rPr>
              <w:t>289 986,3</w:t>
            </w:r>
          </w:p>
        </w:tc>
        <w:tc>
          <w:tcPr>
            <w:tcW w:w="2976" w:type="dxa"/>
          </w:tcPr>
          <w:p>
            <w:pPr>
              <w:jc w:val="center"/>
              <w:rPr>
                <w:sz w:val="24"/>
                <w:szCs w:val="24"/>
              </w:rPr>
            </w:pPr>
            <w:r>
              <w:rPr>
                <w:sz w:val="24"/>
                <w:szCs w:val="24"/>
              </w:rPr>
              <w:t>-13,7</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393"/>
        <w:gridCol w:w="992"/>
        <w:gridCol w:w="1320"/>
        <w:gridCol w:w="1373"/>
        <w:gridCol w:w="993"/>
        <w:gridCol w:w="1196"/>
        <w:gridCol w:w="1355"/>
        <w:gridCol w:w="992"/>
        <w:gridCol w:w="121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99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1320"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37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99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119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3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99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121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9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37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1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3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21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bottom"/>
          </w:tcPr>
          <w:p>
            <w:pPr>
              <w:pStyle w:val="1"/>
              <w:rPr>
                <w:sz w:val="24"/>
                <w:szCs w:val="24"/>
                <w:lang w:val="uk-UA"/>
              </w:rPr>
            </w:pPr>
            <w:r>
              <w:rPr>
                <w:sz w:val="24"/>
                <w:szCs w:val="24"/>
                <w:lang w:val="uk-UA"/>
              </w:rPr>
              <w:t>Кількість ліквідованих надзвичайних ситуацій техногенного та природного характеру та їх наслідків</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39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p>
        </w:tc>
        <w:tc>
          <w:tcPr>
            <w:tcW w:w="13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sz w:val="24"/>
                <w:szCs w:val="24"/>
              </w:rPr>
            </w:pPr>
            <w:r>
              <w:rPr>
                <w:rFonts w:ascii="Times New Roman" w:hAnsi="Times New Roman" w:cs="Times New Roman"/>
                <w:sz w:val="24"/>
                <w:szCs w:val="24"/>
              </w:rPr>
              <w:t>20</w:t>
            </w:r>
          </w:p>
        </w:tc>
        <w:tc>
          <w:tcPr>
            <w:tcW w:w="137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21</w:t>
            </w:r>
          </w:p>
        </w:tc>
        <w:tc>
          <w:tcPr>
            <w:tcW w:w="99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21</w:t>
            </w:r>
          </w:p>
        </w:tc>
        <w:tc>
          <w:tcPr>
            <w:tcW w:w="1355"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bottom"/>
          </w:tcPr>
          <w:p>
            <w:pPr>
              <w:pStyle w:val="1"/>
              <w:rPr>
                <w:sz w:val="24"/>
                <w:szCs w:val="24"/>
                <w:lang w:val="uk-UA"/>
              </w:rPr>
            </w:pPr>
            <w:r>
              <w:rPr>
                <w:sz w:val="24"/>
                <w:szCs w:val="24"/>
                <w:lang w:val="uk-UA"/>
              </w:rPr>
              <w:t>Чисельність постраждалих, яким надана медична допомога на догоспітальному етапі</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осіб</w:t>
            </w:r>
          </w:p>
        </w:tc>
        <w:tc>
          <w:tcPr>
            <w:tcW w:w="139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670</w:t>
            </w:r>
          </w:p>
        </w:tc>
        <w:tc>
          <w:tcPr>
            <w:tcW w:w="992"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p>
        </w:tc>
        <w:tc>
          <w:tcPr>
            <w:tcW w:w="1320"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670</w:t>
            </w:r>
          </w:p>
        </w:tc>
        <w:tc>
          <w:tcPr>
            <w:tcW w:w="137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671</w:t>
            </w:r>
          </w:p>
        </w:tc>
        <w:tc>
          <w:tcPr>
            <w:tcW w:w="99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671</w:t>
            </w:r>
          </w:p>
        </w:tc>
        <w:tc>
          <w:tcPr>
            <w:tcW w:w="1355"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1</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bottom"/>
          </w:tcPr>
          <w:p>
            <w:pPr>
              <w:pStyle w:val="1"/>
              <w:rPr>
                <w:sz w:val="24"/>
                <w:szCs w:val="24"/>
                <w:lang w:val="uk-UA"/>
              </w:rPr>
            </w:pPr>
            <w:r>
              <w:rPr>
                <w:sz w:val="24"/>
                <w:szCs w:val="24"/>
                <w:lang w:val="uk-UA"/>
              </w:rPr>
              <w:t>Кількість попереджених надзвичайних ситуацій техногенного і природного характеру</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39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2000</w:t>
            </w:r>
          </w:p>
        </w:tc>
        <w:tc>
          <w:tcPr>
            <w:tcW w:w="992"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p>
        </w:tc>
        <w:tc>
          <w:tcPr>
            <w:tcW w:w="1320"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2000</w:t>
            </w:r>
          </w:p>
        </w:tc>
        <w:tc>
          <w:tcPr>
            <w:tcW w:w="137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2977</w:t>
            </w:r>
          </w:p>
        </w:tc>
        <w:tc>
          <w:tcPr>
            <w:tcW w:w="99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2977</w:t>
            </w:r>
          </w:p>
        </w:tc>
        <w:tc>
          <w:tcPr>
            <w:tcW w:w="1355"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977</w:t>
            </w:r>
          </w:p>
        </w:tc>
        <w:tc>
          <w:tcPr>
            <w:tcW w:w="99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977</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bottom"/>
          </w:tcPr>
          <w:p>
            <w:pPr>
              <w:pStyle w:val="1"/>
              <w:rPr>
                <w:sz w:val="24"/>
                <w:szCs w:val="24"/>
                <w:lang w:val="uk-UA"/>
              </w:rPr>
            </w:pPr>
            <w:r>
              <w:rPr>
                <w:sz w:val="24"/>
                <w:szCs w:val="24"/>
                <w:lang w:val="uk-UA"/>
              </w:rPr>
              <w:t xml:space="preserve">Кількість суб'єктів господарювання, що підлягають постійному та обов'язковому аварійно-рятувальному обслуговуванню на яких виконані профілактичні заходи </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39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82</w:t>
            </w:r>
          </w:p>
        </w:tc>
        <w:tc>
          <w:tcPr>
            <w:tcW w:w="992"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p>
        </w:tc>
        <w:tc>
          <w:tcPr>
            <w:tcW w:w="1320"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82</w:t>
            </w:r>
          </w:p>
        </w:tc>
        <w:tc>
          <w:tcPr>
            <w:tcW w:w="1373"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82</w:t>
            </w:r>
          </w:p>
        </w:tc>
        <w:tc>
          <w:tcPr>
            <w:tcW w:w="99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r>
              <w:rPr>
                <w:sz w:val="24"/>
                <w:szCs w:val="24"/>
                <w:lang w:val="uk-UA"/>
              </w:rPr>
              <w:t>82</w:t>
            </w:r>
          </w:p>
        </w:tc>
        <w:tc>
          <w:tcPr>
            <w:tcW w:w="1355" w:type="dxa"/>
            <w:tcBorders>
              <w:top w:val="single" w:sz="4" w:space="0" w:color="auto"/>
              <w:left w:val="single" w:sz="4" w:space="0" w:color="auto"/>
              <w:bottom w:val="single" w:sz="4" w:space="0" w:color="auto"/>
              <w:right w:val="single" w:sz="4" w:space="0" w:color="auto"/>
            </w:tcBorders>
            <w:vAlign w:val="center"/>
          </w:tcPr>
          <w:p>
            <w:pPr>
              <w:pStyle w:val="1"/>
              <w:jc w:val="center"/>
              <w:rPr>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vAlign w:val="center"/>
          </w:tcPr>
          <w:p>
            <w:pPr>
              <w:pStyle w:val="1"/>
              <w:jc w:val="center"/>
              <w:rPr>
                <w:sz w:val="18"/>
                <w:szCs w:val="18"/>
                <w:lang w:val="uk-UA"/>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96" w:type="dxa"/>
            <w:tcBorders>
              <w:top w:val="single" w:sz="4" w:space="0" w:color="auto"/>
              <w:left w:val="single" w:sz="4" w:space="0" w:color="auto"/>
              <w:bottom w:val="single" w:sz="4" w:space="0" w:color="auto"/>
              <w:right w:val="single" w:sz="4" w:space="0" w:color="auto"/>
            </w:tcBorders>
            <w:vAlign w:val="bottom"/>
          </w:tcPr>
          <w:p>
            <w:pPr>
              <w:pStyle w:val="1"/>
              <w:rPr>
                <w:sz w:val="24"/>
                <w:szCs w:val="24"/>
                <w:lang w:val="uk-UA"/>
              </w:rPr>
            </w:pPr>
            <w:r>
              <w:rPr>
                <w:sz w:val="24"/>
                <w:szCs w:val="24"/>
                <w:lang w:val="uk-UA"/>
              </w:rPr>
              <w:t xml:space="preserve">Сума попереджених орієнтовних збитків в </w:t>
            </w:r>
            <w:r>
              <w:rPr>
                <w:sz w:val="24"/>
                <w:szCs w:val="24"/>
                <w:lang w:val="uk-UA"/>
              </w:rPr>
              <w:lastRenderedPageBreak/>
              <w:t>результаті виконання рятувальниками запобіжних та профілактичних робіт</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тис.грн.</w:t>
            </w:r>
          </w:p>
        </w:tc>
        <w:tc>
          <w:tcPr>
            <w:tcW w:w="1393" w:type="dxa"/>
            <w:tcBorders>
              <w:top w:val="single" w:sz="4" w:space="0" w:color="auto"/>
              <w:left w:val="single" w:sz="4" w:space="0" w:color="auto"/>
              <w:bottom w:val="single" w:sz="4" w:space="0" w:color="auto"/>
              <w:right w:val="single" w:sz="4" w:space="0" w:color="auto"/>
            </w:tcBorders>
            <w:vAlign w:val="center"/>
          </w:tcPr>
          <w:p>
            <w:pPr>
              <w:pStyle w:val="1"/>
              <w:jc w:val="center"/>
              <w:rPr>
                <w:sz w:val="22"/>
                <w:szCs w:val="22"/>
                <w:lang w:val="uk-UA"/>
              </w:rPr>
            </w:pPr>
            <w:r>
              <w:rPr>
                <w:sz w:val="22"/>
                <w:szCs w:val="22"/>
                <w:lang w:val="uk-UA"/>
              </w:rPr>
              <w:t>5 974 000,0</w:t>
            </w:r>
          </w:p>
        </w:tc>
        <w:tc>
          <w:tcPr>
            <w:tcW w:w="992" w:type="dxa"/>
            <w:tcBorders>
              <w:top w:val="single" w:sz="4" w:space="0" w:color="auto"/>
              <w:left w:val="single" w:sz="4" w:space="0" w:color="auto"/>
              <w:bottom w:val="single" w:sz="4" w:space="0" w:color="auto"/>
              <w:right w:val="single" w:sz="4" w:space="0" w:color="auto"/>
            </w:tcBorders>
            <w:vAlign w:val="center"/>
          </w:tcPr>
          <w:p>
            <w:pPr>
              <w:pStyle w:val="1"/>
              <w:jc w:val="center"/>
              <w:rPr>
                <w:sz w:val="22"/>
                <w:szCs w:val="22"/>
                <w:lang w:val="uk-UA"/>
              </w:rPr>
            </w:pPr>
          </w:p>
        </w:tc>
        <w:tc>
          <w:tcPr>
            <w:tcW w:w="1320" w:type="dxa"/>
            <w:tcBorders>
              <w:top w:val="single" w:sz="4" w:space="0" w:color="auto"/>
              <w:left w:val="single" w:sz="4" w:space="0" w:color="auto"/>
              <w:bottom w:val="single" w:sz="4" w:space="0" w:color="auto"/>
              <w:right w:val="single" w:sz="4" w:space="0" w:color="auto"/>
            </w:tcBorders>
            <w:vAlign w:val="center"/>
          </w:tcPr>
          <w:p>
            <w:pPr>
              <w:pStyle w:val="1"/>
              <w:jc w:val="center"/>
              <w:rPr>
                <w:sz w:val="22"/>
                <w:szCs w:val="22"/>
                <w:lang w:val="uk-UA"/>
              </w:rPr>
            </w:pPr>
            <w:r>
              <w:rPr>
                <w:sz w:val="22"/>
                <w:szCs w:val="22"/>
                <w:lang w:val="uk-UA"/>
              </w:rPr>
              <w:t>5 974 000,0</w:t>
            </w:r>
          </w:p>
        </w:tc>
        <w:tc>
          <w:tcPr>
            <w:tcW w:w="1373" w:type="dxa"/>
            <w:tcBorders>
              <w:top w:val="single" w:sz="4" w:space="0" w:color="auto"/>
              <w:left w:val="single" w:sz="4" w:space="0" w:color="auto"/>
              <w:bottom w:val="single" w:sz="4" w:space="0" w:color="auto"/>
              <w:right w:val="single" w:sz="4" w:space="0" w:color="auto"/>
            </w:tcBorders>
            <w:vAlign w:val="center"/>
          </w:tcPr>
          <w:p>
            <w:pPr>
              <w:pStyle w:val="1"/>
              <w:jc w:val="center"/>
              <w:rPr>
                <w:sz w:val="22"/>
                <w:szCs w:val="22"/>
                <w:lang w:val="uk-UA"/>
              </w:rPr>
            </w:pPr>
            <w:r>
              <w:rPr>
                <w:sz w:val="22"/>
                <w:szCs w:val="22"/>
                <w:lang w:val="uk-UA"/>
              </w:rPr>
              <w:t>8 008 130,0</w:t>
            </w:r>
          </w:p>
        </w:tc>
        <w:tc>
          <w:tcPr>
            <w:tcW w:w="99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vAlign w:val="center"/>
          </w:tcPr>
          <w:p>
            <w:pPr>
              <w:pStyle w:val="1"/>
              <w:jc w:val="center"/>
              <w:rPr>
                <w:sz w:val="18"/>
                <w:szCs w:val="18"/>
                <w:lang w:val="uk-UA"/>
              </w:rPr>
            </w:pPr>
            <w:r>
              <w:rPr>
                <w:sz w:val="18"/>
                <w:szCs w:val="18"/>
                <w:lang w:val="uk-UA"/>
              </w:rPr>
              <w:t>8 008 130,0</w:t>
            </w:r>
          </w:p>
        </w:tc>
        <w:tc>
          <w:tcPr>
            <w:tcW w:w="1355" w:type="dxa"/>
            <w:tcBorders>
              <w:top w:val="single" w:sz="4" w:space="0" w:color="auto"/>
              <w:left w:val="single" w:sz="4" w:space="0" w:color="auto"/>
              <w:bottom w:val="single" w:sz="4" w:space="0" w:color="auto"/>
              <w:right w:val="single" w:sz="4" w:space="0" w:color="auto"/>
            </w:tcBorders>
            <w:vAlign w:val="center"/>
          </w:tcPr>
          <w:p>
            <w:pPr>
              <w:pStyle w:val="1"/>
              <w:jc w:val="center"/>
              <w:rPr>
                <w:sz w:val="22"/>
                <w:szCs w:val="22"/>
                <w:lang w:val="uk-UA"/>
              </w:rPr>
            </w:pPr>
            <w:r>
              <w:rPr>
                <w:sz w:val="22"/>
                <w:szCs w:val="22"/>
                <w:lang w:val="uk-UA"/>
              </w:rPr>
              <w:t>2 034 130,0</w:t>
            </w:r>
          </w:p>
        </w:tc>
        <w:tc>
          <w:tcPr>
            <w:tcW w:w="99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rPr>
            </w:pPr>
          </w:p>
        </w:tc>
        <w:tc>
          <w:tcPr>
            <w:tcW w:w="1214" w:type="dxa"/>
            <w:tcBorders>
              <w:top w:val="single" w:sz="4" w:space="0" w:color="auto"/>
              <w:left w:val="single" w:sz="4" w:space="0" w:color="auto"/>
              <w:bottom w:val="single" w:sz="4" w:space="0" w:color="auto"/>
              <w:right w:val="single" w:sz="4" w:space="0" w:color="auto"/>
            </w:tcBorders>
            <w:vAlign w:val="center"/>
          </w:tcPr>
          <w:p>
            <w:pPr>
              <w:pStyle w:val="1"/>
              <w:jc w:val="center"/>
              <w:rPr>
                <w:sz w:val="18"/>
                <w:szCs w:val="18"/>
                <w:lang w:val="uk-UA"/>
              </w:rPr>
            </w:pPr>
            <w:r>
              <w:rPr>
                <w:sz w:val="18"/>
                <w:szCs w:val="18"/>
                <w:lang w:val="uk-UA"/>
              </w:rPr>
              <w:t>2 034 130,0</w:t>
            </w: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spacing w:after="0" w:line="240" w:lineRule="auto"/>
              <w:rPr>
                <w:rFonts w:ascii="Times New Roman" w:hAnsi="Times New Roman" w:cs="Times New Roman"/>
                <w:sz w:val="24"/>
                <w:szCs w:val="24"/>
              </w:rPr>
            </w:pPr>
            <w:r>
              <w:rPr>
                <w:rFonts w:ascii="Times New Roman" w:hAnsi="Times New Roman" w:cs="Times New Roman"/>
                <w:sz w:val="24"/>
                <w:szCs w:val="24"/>
              </w:rPr>
              <w:t>Щодо збільшення кількості ліквідованих надзвичайних ситуацій техногенного та природного характеру та їх наслідків на 1  од.</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Загальне збільшення кількості  надзвичайних ситуацій  пояснюється декількома факторами , по-перше  загальним зниженням на підприємствах що обслуговуються рівня промислової безпеки та високим рівнем виникнення надзвичайних ситуацій. По-друге  в 2020 році підрозділи ДВГРС були залучені на 1 випадок, який не пов’язаний з  технологічними процесами з видобування вугілля, а саме відключення електропостачання на шахту 5/6 ДП «Мирноградвугілля» 05.02.2020 в наслідок складних погодних умов, які призвели до аварійного виходу з ладу ЛЕП 110 кВ «Красноармійськ-Вишневе».</w:t>
            </w:r>
          </w:p>
          <w:p>
            <w:pPr>
              <w:spacing w:after="0" w:line="240" w:lineRule="auto"/>
              <w:rPr>
                <w:rFonts w:ascii="Times New Roman" w:hAnsi="Times New Roman" w:cs="Times New Roman"/>
                <w:sz w:val="24"/>
                <w:szCs w:val="24"/>
              </w:rPr>
            </w:pPr>
            <w:r>
              <w:rPr>
                <w:rFonts w:ascii="Times New Roman" w:hAnsi="Times New Roman" w:cs="Times New Roman"/>
                <w:sz w:val="24"/>
                <w:szCs w:val="24"/>
              </w:rPr>
              <w:t>Щодо збільшення на 1 особу  кількості постраждалих, яким надана медична допомога на догоспітальному етапі.</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2020 році підрозділами ДВГРС виконано виїзд на 100% викликів підприємств для надання допомоги при травмуванні робітників. Разом з тим, згідно аналізу статистичних даних за 2020 рік підприємствами в порушення вимог нормативних документів не виконано виклик на 26% травмованих. Збільшення загальної кількості травмованих робітників пов’язано зі зниженням рівня промислової безпеки. </w:t>
            </w:r>
          </w:p>
          <w:p>
            <w:pPr>
              <w:spacing w:after="0" w:line="240" w:lineRule="auto"/>
              <w:rPr>
                <w:rFonts w:ascii="Times New Roman" w:hAnsi="Times New Roman" w:cs="Times New Roman"/>
                <w:sz w:val="24"/>
                <w:szCs w:val="24"/>
              </w:rPr>
            </w:pPr>
            <w:r>
              <w:rPr>
                <w:rFonts w:ascii="Times New Roman" w:hAnsi="Times New Roman" w:cs="Times New Roman"/>
                <w:sz w:val="24"/>
                <w:szCs w:val="24"/>
              </w:rPr>
              <w:t>Щодо збільшення кількості попереджених надзвичайних ситуацій техногенного і природного характеру на 977  випадків.</w:t>
            </w:r>
          </w:p>
          <w:p>
            <w:pPr>
              <w:spacing w:after="0" w:line="240" w:lineRule="auto"/>
              <w:rPr>
                <w:rFonts w:ascii="Times New Roman" w:hAnsi="Times New Roman" w:cs="Times New Roman"/>
                <w:sz w:val="24"/>
                <w:szCs w:val="24"/>
              </w:rPr>
            </w:pPr>
            <w:r>
              <w:rPr>
                <w:rFonts w:ascii="Times New Roman" w:hAnsi="Times New Roman" w:cs="Times New Roman"/>
                <w:sz w:val="24"/>
                <w:szCs w:val="24"/>
              </w:rPr>
              <w:t>У  зв’язку зі зниженням на підприємствах, що обслуговуються рівня промислової безпеки протягом 2020 року було введено 5 періодів посиленого несення служби підрозділами ДВГРС, під час яких виконано 276 додаткових обстежень потенційно небезпечних підприємств, що обслуговуються, виявлено та усунуто 362 випадки, коли стан об’єктів загрожував життю людей та міг призвести до виникнення надзвичайних ситуацій. Також у 2020 році командним складом ДВГРС виконано 3 позапланові цільові перевірки стану безпечного ведення робіт на підприємствах, які обслуговуються, під час яких, виявлено та усунуто 57 випадків, коли стан об’єктів загрожував життю людей та міг призвести до виникнення надзвичайних ситуацій.</w:t>
            </w:r>
          </w:p>
          <w:p>
            <w:pPr>
              <w:spacing w:after="0" w:line="240" w:lineRule="auto"/>
              <w:rPr>
                <w:rFonts w:ascii="Times New Roman" w:hAnsi="Times New Roman" w:cs="Times New Roman"/>
                <w:sz w:val="24"/>
                <w:szCs w:val="24"/>
              </w:rPr>
            </w:pPr>
            <w:r>
              <w:rPr>
                <w:rFonts w:ascii="Times New Roman" w:hAnsi="Times New Roman" w:cs="Times New Roman"/>
                <w:sz w:val="24"/>
                <w:szCs w:val="24"/>
              </w:rPr>
              <w:t>Щодо збільшення суми попереджених орієнтовних збитків в результаті виконання рятувальниками запобіжних та профілактичних робіт на 2 034 130 тис.грн.</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Збільшення  суми попереджених орієнтовних збитків в результаті виконання рятувальниками запобіжних та профілактичних робіт обумовлено наступним: у 2020 році виявлено на 88 випадків менше  в порівнянні з 2019 роком, коли ситуація в гірничих виробках загрожувала життю людей або могла привести до аварії, але фактичний середній збиток однієї надзвичайної ситуації  за останні три роки збільшився і склав 2690 тис грн. (2020 рік – 3301 тис. грн.;2019 рік  - 2668 тис.грн;  2018 рік – 2100 тис. грн.),  що вище попереднього  періоду  на 17%  (2017-2019 рік - 2216 тис. грн.).</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pStyle w:val="3"/>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підсумками 2020 року працівниками ДВГРС ліквідовано 21 надзвичайну ситуацію техногенного та природного характеру та їх наслідків, з яких попереджено 2977</w:t>
      </w:r>
      <w:r>
        <w:t xml:space="preserve"> </w:t>
      </w:r>
      <w:r>
        <w:rPr>
          <w:rFonts w:ascii="Times New Roman" w:hAnsi="Times New Roman" w:cs="Times New Roman"/>
          <w:sz w:val="24"/>
          <w:szCs w:val="24"/>
        </w:rPr>
        <w:t>надзвичайних ситуацій; надано медичної допомоги 671 постраждалим; проведено профілактичні заходи на 82 підприємствах</w:t>
      </w:r>
      <w:r>
        <w:rPr>
          <w:rFonts w:ascii="Times New Roman" w:hAnsi="Times New Roman" w:cs="Times New Roman"/>
          <w:color w:val="1F4E79" w:themeColor="accent1" w:themeShade="80"/>
          <w:sz w:val="24"/>
          <w:szCs w:val="24"/>
        </w:rPr>
        <w:t>;</w:t>
      </w:r>
      <w:r>
        <w:rPr>
          <w:rFonts w:ascii="Times New Roman" w:hAnsi="Times New Roman" w:cs="Times New Roman"/>
          <w:sz w:val="24"/>
          <w:szCs w:val="24"/>
        </w:rPr>
        <w:t xml:space="preserve"> попереджено збитків Державі в результаті виконання рятувальниками запобіжних та профілактичних робіт орієнтовано у розмірі 8 млр грн та ін. </w:t>
      </w:r>
    </w:p>
    <w:p>
      <w:pPr>
        <w:pStyle w:val="3"/>
        <w:spacing w:after="0" w:line="240" w:lineRule="auto"/>
        <w:jc w:val="both"/>
        <w:rPr>
          <w:rFonts w:ascii="Times New Roman" w:hAnsi="Times New Roman" w:cs="Times New Roman"/>
          <w:sz w:val="24"/>
          <w:szCs w:val="24"/>
        </w:rPr>
      </w:pPr>
      <w:r>
        <w:rPr>
          <w:rFonts w:ascii="Times New Roman" w:hAnsi="Times New Roman" w:cs="Times New Roman"/>
          <w:sz w:val="24"/>
          <w:szCs w:val="24"/>
        </w:rPr>
        <w:t>Наведені показники свідчать про результативність, актуальність, ефективність та корисність бюджетної програми «Гірничорятувальні заходи на вугледобувних підприємствах».</w:t>
      </w:r>
    </w:p>
    <w:p>
      <w:pPr>
        <w:pStyle w:val="3"/>
        <w:spacing w:after="0" w:line="240" w:lineRule="auto"/>
        <w:jc w:val="both"/>
        <w:rPr>
          <w:rFonts w:ascii="Times New Roman" w:hAnsi="Times New Roman" w:cs="Times New Roman"/>
          <w:sz w:val="24"/>
          <w:szCs w:val="24"/>
        </w:rPr>
      </w:pPr>
      <w:r>
        <w:rPr>
          <w:rFonts w:ascii="Times New Roman" w:hAnsi="Times New Roman" w:cs="Times New Roman"/>
          <w:sz w:val="24"/>
          <w:szCs w:val="24"/>
        </w:rPr>
        <w:t>ДВГРС ефективно виконує головні завдання за призначенням (попередження аварій; рятування людей, захоплених аваріями; ліквідація аварій, рятування основних засобів виробництва підприємств, підготовлених до виїмки запасів вугілля, робочих місць від знищення при аваріях; надання медичної допомоги потерпілим внаслідок  нещасних випадків тощо).</w:t>
      </w:r>
    </w:p>
    <w:p>
      <w:pPr>
        <w:pStyle w:val="3"/>
        <w:spacing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lastRenderedPageBreak/>
              <w:t>3.5.</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2401140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0434</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Фізичний захист ядерних установок та ядерних матеріалів</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spacing w:after="0" w:line="240" w:lineRule="auto"/>
              <w:rPr>
                <w:rFonts w:ascii="Times New Roman" w:hAnsi="Times New Roman" w:cs="Times New Roman"/>
                <w:sz w:val="24"/>
                <w:szCs w:val="24"/>
              </w:rPr>
            </w:pPr>
            <w:r>
              <w:rPr>
                <w:rFonts w:ascii="Times New Roman" w:hAnsi="Times New Roman"/>
                <w:color w:val="000000"/>
                <w:sz w:val="24"/>
                <w:szCs w:val="24"/>
              </w:rPr>
              <w:t>Забезпечення фізичного захисту ядерних установок та ядерних матеріалів від загрози вчинення диверсій, незаконного переміщення та вилучення ядерних матеріалів, реконструкції та підтримання у належному робочому стані інженерно-технічних засобів системи фізичного захисту, підтримання боєготовності підрозділів фізичного захисту та охорони, створення і функціонування системи протидії вчиненню диверсій</w:t>
            </w: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Завдання бюджетної програми</w:t>
            </w:r>
          </w:p>
          <w:p>
            <w:pPr>
              <w:spacing w:after="0" w:line="240" w:lineRule="auto"/>
              <w:rPr>
                <w:rFonts w:ascii="Times New Roman" w:hAnsi="Times New Roman" w:cs="Times New Roman"/>
              </w:rPr>
            </w:pP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Забезпечення організаційно-правових та інженерно-технічних заходів з фізичного захисту ядерних установок та ядерних матеріалів</w:t>
            </w:r>
            <w:r>
              <w:rPr>
                <w:rFonts w:ascii="Times New Roman" w:hAnsi="Times New Roman" w:cs="Times New Roman"/>
                <w:sz w:val="24"/>
                <w:szCs w:val="24"/>
              </w:rPr>
              <w:t> </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36 154,0</w:t>
            </w:r>
          </w:p>
        </w:tc>
        <w:tc>
          <w:tcPr>
            <w:tcW w:w="3270" w:type="dxa"/>
          </w:tcPr>
          <w:p>
            <w:pPr>
              <w:jc w:val="center"/>
              <w:rPr>
                <w:sz w:val="24"/>
                <w:szCs w:val="24"/>
              </w:rPr>
            </w:pPr>
            <w:r>
              <w:rPr>
                <w:sz w:val="24"/>
                <w:szCs w:val="24"/>
              </w:rPr>
              <w:t>36 154,0</w:t>
            </w:r>
          </w:p>
        </w:tc>
        <w:tc>
          <w:tcPr>
            <w:tcW w:w="2976" w:type="dxa"/>
          </w:tcPr>
          <w:p>
            <w:pPr>
              <w:jc w:val="center"/>
              <w:rPr>
                <w:sz w:val="24"/>
                <w:szCs w:val="24"/>
              </w:rPr>
            </w:pPr>
            <w:r>
              <w:rPr>
                <w:sz w:val="24"/>
                <w:szCs w:val="24"/>
              </w:rPr>
              <w:t>0</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36 154,0</w:t>
            </w:r>
          </w:p>
        </w:tc>
        <w:tc>
          <w:tcPr>
            <w:tcW w:w="3270" w:type="dxa"/>
            <w:vAlign w:val="center"/>
          </w:tcPr>
          <w:p>
            <w:pPr>
              <w:jc w:val="center"/>
              <w:rPr>
                <w:sz w:val="24"/>
                <w:szCs w:val="24"/>
              </w:rPr>
            </w:pPr>
            <w:r>
              <w:rPr>
                <w:sz w:val="24"/>
                <w:szCs w:val="24"/>
              </w:rPr>
              <w:t>36 154,0</w:t>
            </w:r>
          </w:p>
        </w:tc>
        <w:tc>
          <w:tcPr>
            <w:tcW w:w="2976" w:type="dxa"/>
          </w:tcPr>
          <w:p>
            <w:pPr>
              <w:jc w:val="center"/>
              <w:rPr>
                <w:sz w:val="24"/>
                <w:szCs w:val="24"/>
              </w:rPr>
            </w:pPr>
            <w:r>
              <w:rPr>
                <w:sz w:val="24"/>
                <w:szCs w:val="24"/>
              </w:rPr>
              <w:t>0</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Кількість об'єктів території колишнього уранового виробництва ВО </w:t>
            </w:r>
            <w:r>
              <w:rPr>
                <w:rFonts w:ascii="Times New Roman" w:hAnsi="Times New Roman"/>
                <w:color w:val="000000"/>
                <w:sz w:val="24"/>
                <w:szCs w:val="24"/>
              </w:rPr>
              <w:lastRenderedPageBreak/>
              <w:t>«ПХЗ» та хвостосховищ, забезпечених фізичним захистом  та охороною</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Рівень охоплення фізичним захистом об’єктів території колишнього уранового виробництва ВО «ПХЗ» та його хвостосховищ</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фахівців з фізичного захисту та охорони, які пройшли перепідготовку та підвищення кваліфікації</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осіб</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pStyle w:val="3"/>
        <w:spacing w:after="0" w:line="240" w:lineRule="auto"/>
        <w:jc w:val="both"/>
        <w:rPr>
          <w:rFonts w:ascii="Times New Roman" w:hAnsi="Times New Roman"/>
          <w:color w:val="000000"/>
          <w:sz w:val="24"/>
          <w:szCs w:val="24"/>
        </w:rPr>
      </w:pPr>
      <w:r>
        <w:rPr>
          <w:rFonts w:ascii="Times New Roman" w:hAnsi="Times New Roman" w:cs="Times New Roman"/>
          <w:sz w:val="24"/>
          <w:szCs w:val="24"/>
        </w:rPr>
        <w:t xml:space="preserve">У 2020 році за результатами аналізу виконання результативних показників за бюджетною програмою КПКВК 2401140 «Фізичний захист ядерних установок та ядерних матеріалів» </w:t>
      </w:r>
      <w:r>
        <w:rPr>
          <w:rFonts w:ascii="Times New Roman" w:hAnsi="Times New Roman"/>
          <w:color w:val="000000"/>
          <w:sz w:val="24"/>
          <w:szCs w:val="24"/>
        </w:rPr>
        <w:t xml:space="preserve">досягнуто мети, а саме: </w:t>
      </w:r>
      <w:r>
        <w:rPr>
          <w:rFonts w:ascii="Times New Roman" w:hAnsi="Times New Roman" w:cs="Times New Roman"/>
          <w:sz w:val="24"/>
          <w:szCs w:val="24"/>
        </w:rPr>
        <w:t xml:space="preserve">ДП «38 ВІТЧ» забезпечено </w:t>
      </w:r>
      <w:r>
        <w:rPr>
          <w:rFonts w:ascii="Times New Roman" w:hAnsi="Times New Roman"/>
          <w:color w:val="000000"/>
          <w:sz w:val="24"/>
          <w:szCs w:val="24"/>
        </w:rPr>
        <w:t>фізичний захист ядерних установок та ядерних матеріалів від загрози вчинення диверсій, незаконного переміщення та вилучення ядерних матеріалів</w:t>
      </w:r>
      <w:r>
        <w:rPr>
          <w:rFonts w:ascii="Times New Roman" w:hAnsi="Times New Roman" w:cs="Times New Roman"/>
          <w:sz w:val="24"/>
          <w:szCs w:val="24"/>
        </w:rPr>
        <w:t xml:space="preserve"> колишнього уранового виробництва ВО «ПХЗ», радіаційно-забруднених об’єктів та хвостосховищ з відходами уранового виробництва (20 одиниць), які розташовані в межах м. Кам’янського та в Дніпровському районі Дніпропетровської області. Завдання за бюджетною програмою виконані у повному обсязі.</w:t>
      </w:r>
      <w:r>
        <w:rPr>
          <w:rFonts w:ascii="Times New Roman" w:hAnsi="Times New Roman"/>
          <w:color w:val="000000"/>
          <w:sz w:val="24"/>
          <w:szCs w:val="24"/>
        </w:rPr>
        <w:t xml:space="preserve"> </w:t>
      </w:r>
    </w:p>
    <w:p>
      <w:pPr>
        <w:pStyle w:val="3"/>
        <w:spacing w:before="120"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3.6.</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2401380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0490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Компенсація акціонерному товариству «Національна акціонерна компанія «Нафтогаз України» економічно обґрунтованих витрат, здійснених  з метою виконання покладених на нього відповідно до статті 11 Закону України «Про ринок природного газу» спеціальних обов'язків для забезпечення загальносуспільних інтересів у процесі функціонування ринку природного газу, зменшених на доходи, отримані у процесі виконання таких спеціальних обов’язків, та з урахуванням допустимого рівня прибутку</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Мета бюджетної програми </w:t>
            </w:r>
          </w:p>
          <w:p>
            <w:pPr>
              <w:spacing w:after="0" w:line="240" w:lineRule="auto"/>
              <w:rPr>
                <w:rFonts w:ascii="Times New Roman" w:hAnsi="Times New Roman"/>
                <w:color w:val="000000"/>
                <w:sz w:val="24"/>
                <w:szCs w:val="24"/>
              </w:rPr>
            </w:pPr>
            <w:r>
              <w:rPr>
                <w:rFonts w:ascii="Times New Roman" w:hAnsi="Times New Roman"/>
                <w:color w:val="000000"/>
                <w:sz w:val="24"/>
                <w:szCs w:val="24"/>
              </w:rPr>
              <w:t>Реалізація статті 11 Закону України «Про ринок природного газу» для забезпечення загальносуспільних інтересів у процесі функціонування ринку природного газу</w:t>
            </w:r>
          </w:p>
          <w:p>
            <w:pPr>
              <w:spacing w:after="0" w:line="240" w:lineRule="auto"/>
              <w:rPr>
                <w:rFonts w:ascii="Times New Roman" w:hAnsi="Times New Roman" w:cs="Times New Roman"/>
                <w:sz w:val="24"/>
              </w:rPr>
            </w:pP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sz w:val="24"/>
              </w:rPr>
            </w:pPr>
            <w:r>
              <w:rPr>
                <w:rFonts w:ascii="Times New Roman" w:hAnsi="Times New Roman" w:cs="Times New Roman"/>
                <w:sz w:val="24"/>
              </w:rPr>
              <w:lastRenderedPageBreak/>
              <w:t>Завдання бюджетної програми</w:t>
            </w:r>
          </w:p>
          <w:p>
            <w:pPr>
              <w:spacing w:after="0" w:line="240" w:lineRule="auto"/>
              <w:rPr>
                <w:rFonts w:ascii="Times New Roman" w:hAnsi="Times New Roman" w:cs="Times New Roman"/>
              </w:rPr>
            </w:pPr>
          </w:p>
        </w:tc>
      </w:tr>
      <w:tr>
        <w:tblPrEx>
          <w:tblLook w:val="0000" w:firstRow="0" w:lastRow="0" w:firstColumn="0" w:lastColumn="0" w:noHBand="0" w:noVBand="0"/>
        </w:tblPrEx>
        <w:trPr>
          <w:gridAfter w:val="1"/>
          <w:wAfter w:w="21" w:type="dxa"/>
          <w:trHeight w:val="649"/>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olor w:val="000000"/>
                <w:sz w:val="24"/>
                <w:szCs w:val="24"/>
              </w:rPr>
              <w:t>Компенсація НАК «Нафтогаз України» економічно обґрунтованих витрат, зменшених на доходи, отримані у процесі виконання покладених на Компанію спеціальних обов'язків, та з урахуванням допустимого рівня прибутку</w:t>
            </w:r>
            <w:r>
              <w:rPr>
                <w:rFonts w:ascii="Times New Roman" w:hAnsi="Times New Roman" w:cs="Times New Roman"/>
                <w:sz w:val="24"/>
                <w:szCs w:val="24"/>
              </w:rPr>
              <w:t> </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32 204 883,0</w:t>
            </w:r>
          </w:p>
        </w:tc>
        <w:tc>
          <w:tcPr>
            <w:tcW w:w="3270" w:type="dxa"/>
            <w:vAlign w:val="center"/>
          </w:tcPr>
          <w:p>
            <w:pPr>
              <w:jc w:val="center"/>
              <w:rPr>
                <w:sz w:val="24"/>
                <w:szCs w:val="24"/>
              </w:rPr>
            </w:pPr>
            <w:r>
              <w:rPr>
                <w:sz w:val="24"/>
                <w:szCs w:val="24"/>
              </w:rPr>
              <w:t>32 204 883,0</w:t>
            </w:r>
          </w:p>
        </w:tc>
        <w:tc>
          <w:tcPr>
            <w:tcW w:w="2976" w:type="dxa"/>
            <w:vAlign w:val="center"/>
          </w:tcPr>
          <w:p>
            <w:pPr>
              <w:jc w:val="center"/>
              <w:rPr>
                <w:sz w:val="24"/>
                <w:szCs w:val="24"/>
              </w:rPr>
            </w:pPr>
            <w:r>
              <w:rPr>
                <w:sz w:val="24"/>
                <w:szCs w:val="24"/>
              </w:rPr>
              <w:t>0</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vAlign w:val="center"/>
          </w:tcPr>
          <w:p>
            <w:pPr>
              <w:jc w:val="center"/>
              <w:rPr>
                <w:sz w:val="24"/>
                <w:szCs w:val="24"/>
              </w:rPr>
            </w:pPr>
            <w:r>
              <w:rPr>
                <w:sz w:val="24"/>
                <w:szCs w:val="24"/>
              </w:rPr>
              <w:t>0</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32 204 883,0</w:t>
            </w:r>
          </w:p>
        </w:tc>
        <w:tc>
          <w:tcPr>
            <w:tcW w:w="3270" w:type="dxa"/>
            <w:vAlign w:val="center"/>
          </w:tcPr>
          <w:p>
            <w:pPr>
              <w:jc w:val="center"/>
              <w:rPr>
                <w:sz w:val="24"/>
                <w:szCs w:val="24"/>
              </w:rPr>
            </w:pPr>
            <w:r>
              <w:rPr>
                <w:sz w:val="24"/>
                <w:szCs w:val="24"/>
              </w:rPr>
              <w:t>32 204 883,0</w:t>
            </w:r>
          </w:p>
        </w:tc>
        <w:tc>
          <w:tcPr>
            <w:tcW w:w="2976" w:type="dxa"/>
            <w:vAlign w:val="center"/>
          </w:tcPr>
          <w:p>
            <w:pPr>
              <w:jc w:val="center"/>
              <w:rPr>
                <w:sz w:val="24"/>
                <w:szCs w:val="24"/>
              </w:rPr>
            </w:pPr>
            <w:r>
              <w:rPr>
                <w:sz w:val="24"/>
                <w:szCs w:val="24"/>
              </w:rPr>
              <w:t>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Відсоток виділення коштів для компенсації акціонерному товариству "Національна акціонерна компанія "Нафтогаз України" економічно обґрунтованих витрат, здійснених з метою виконання покладених </w:t>
            </w:r>
            <w:r>
              <w:rPr>
                <w:rFonts w:ascii="Times New Roman" w:hAnsi="Times New Roman"/>
                <w:color w:val="000000"/>
                <w:sz w:val="24"/>
                <w:szCs w:val="24"/>
              </w:rPr>
              <w:lastRenderedPageBreak/>
              <w:t>на нього відповідно до статті 11 Закону України "Про ринок природного газу" спеціальних обов'язків для забезпечення загальносуспільних інтересів у процесі функціонування ринку природного газу, зменшених на доходи, отримані у процесі виконання таких спеціальних обов'язків, та з урахуванням допустимого рівня прибутку</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pStyle w:val="3"/>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За бюджетною програмою КПКВК 2401380 "Компенсація акціонерному товариству "Національна акціонерна компанія "Нафтогаз України" економічно обґрунтованих витрат, здійснених з метою виконання покладених на нього відповідно до статті 11 Закону України "Про ринок природного газу" спеціальних обов'язків для забезпечення загальносуспільних інтересів у процесі функціонування ринку природного газу, зменшених на доходи, отримані у процесі виконання таких спеціальних обов’язків, та з урахуванням допустимого рівня прибутку " у 2020 році розрахунки між учасниками проведені в повному обсязі планових призначень, що дало можливість досягти мети та забезпечити виконання завдання.</w:t>
      </w:r>
    </w:p>
    <w:p>
      <w:pPr>
        <w:pStyle w:val="3"/>
        <w:spacing w:before="120"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3.7.</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2401420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0441</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Реалізація державного інвестиційного проекту «Новокостянтинівська шахта. Розвиток виробничих потужностей»</w:t>
            </w:r>
          </w:p>
        </w:tc>
      </w:tr>
      <w:tr>
        <w:tblPrEx>
          <w:tblLook w:val="0000" w:firstRow="0" w:lastRow="0" w:firstColumn="0" w:lastColumn="0" w:noHBand="0" w:noVBand="0"/>
        </w:tblPrEx>
        <w:trPr>
          <w:gridAfter w:val="1"/>
          <w:wAfter w:w="21" w:type="dxa"/>
          <w:trHeight w:val="778"/>
        </w:trPr>
        <w:tc>
          <w:tcPr>
            <w:tcW w:w="15368" w:type="dxa"/>
            <w:gridSpan w:val="5"/>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s="Times New Roman"/>
                <w:sz w:val="24"/>
              </w:rPr>
            </w:pP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Підвищення ефективності виробництва уранового оксидного концентрату за рахунок збільшення обсягів видобутку уранової руди на Новокостянтинівській шахті Державного підприємства «Східний гірничо-збагачувальний комбінат» та зниження залежності вітчизняної атомної енергетики від іноземних постачальників уранової продукції</w:t>
            </w:r>
          </w:p>
          <w:p>
            <w:pPr>
              <w:spacing w:after="0" w:line="240" w:lineRule="auto"/>
              <w:rPr>
                <w:rFonts w:ascii="Times New Roman" w:hAnsi="Times New Roman" w:cs="Times New Roman"/>
                <w:sz w:val="24"/>
              </w:rPr>
            </w:pP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rPr>
            </w:pPr>
            <w:r>
              <w:rPr>
                <w:rFonts w:ascii="Times New Roman" w:hAnsi="Times New Roman" w:cs="Times New Roman"/>
                <w:sz w:val="24"/>
              </w:rPr>
              <w:t>Завдання бюджетної програми</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lastRenderedPageBreak/>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rPr>
            </w:pPr>
            <w:r>
              <w:rPr>
                <w:rFonts w:ascii="Times New Roman" w:hAnsi="Times New Roman" w:cs="Times New Roman"/>
                <w:sz w:val="24"/>
              </w:rPr>
              <w:t>Реалізація державного інвестиційного проекту «Новокостянтинівська шахта. Розвиток виробничих потужностей» </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10 000,0</w:t>
            </w:r>
          </w:p>
        </w:tc>
        <w:tc>
          <w:tcPr>
            <w:tcW w:w="3270" w:type="dxa"/>
            <w:vAlign w:val="center"/>
          </w:tcPr>
          <w:p>
            <w:pPr>
              <w:jc w:val="center"/>
              <w:rPr>
                <w:sz w:val="24"/>
                <w:szCs w:val="24"/>
              </w:rPr>
            </w:pPr>
            <w:r>
              <w:rPr>
                <w:sz w:val="24"/>
                <w:szCs w:val="24"/>
              </w:rPr>
              <w:t>9 137,3</w:t>
            </w:r>
          </w:p>
        </w:tc>
        <w:tc>
          <w:tcPr>
            <w:tcW w:w="2976" w:type="dxa"/>
          </w:tcPr>
          <w:p>
            <w:pPr>
              <w:jc w:val="center"/>
              <w:rPr>
                <w:sz w:val="24"/>
                <w:szCs w:val="24"/>
              </w:rPr>
            </w:pPr>
            <w:r>
              <w:rPr>
                <w:sz w:val="24"/>
                <w:szCs w:val="24"/>
              </w:rPr>
              <w:t>-862,7</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10 000,0</w:t>
            </w:r>
          </w:p>
        </w:tc>
        <w:tc>
          <w:tcPr>
            <w:tcW w:w="3270" w:type="dxa"/>
            <w:vAlign w:val="center"/>
          </w:tcPr>
          <w:p>
            <w:pPr>
              <w:jc w:val="center"/>
              <w:rPr>
                <w:sz w:val="24"/>
                <w:szCs w:val="24"/>
              </w:rPr>
            </w:pPr>
            <w:r>
              <w:rPr>
                <w:sz w:val="24"/>
                <w:szCs w:val="24"/>
              </w:rPr>
              <w:t>9 137,3</w:t>
            </w:r>
          </w:p>
        </w:tc>
        <w:tc>
          <w:tcPr>
            <w:tcW w:w="2976" w:type="dxa"/>
          </w:tcPr>
          <w:p>
            <w:pPr>
              <w:jc w:val="center"/>
              <w:rPr>
                <w:sz w:val="24"/>
                <w:szCs w:val="24"/>
              </w:rPr>
            </w:pPr>
            <w:r>
              <w:rPr>
                <w:sz w:val="24"/>
                <w:szCs w:val="24"/>
              </w:rPr>
              <w:t>-862,7</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Кількість придбаного підземного гірничо-прохідницького та транспортного обладнання</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Кількість придбаного транспортного обладнання (в рамках виконання будівництва транспортного-складського комплексу)</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Рівень реалізації державного </w:t>
            </w:r>
            <w:r>
              <w:rPr>
                <w:rFonts w:ascii="Times New Roman" w:hAnsi="Times New Roman" w:cs="Times New Roman"/>
                <w:sz w:val="24"/>
                <w:szCs w:val="24"/>
              </w:rPr>
              <w:lastRenderedPageBreak/>
              <w:t>інвестиційного проекту (з урахуванням усіх джерел фінансування державного інвестиційного проекту)</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Рівень забезпечення шахти гірничо-прохідницьким та транспортним обладнанням (з урахуванням усіх джерел фінансування державного інвестиційного проекту)</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Показник «Рівень реалізації державного інвестиційного проекту (з урахуванням усіх джерел фінансування державного інвестиційного проекту)» склав 15,7 відсотка, що на 1,4 відсотка менше від затвердженого у паспорті. Зазначене недовиконання пов'язано із зменшення обсягу фінансування інвестиційного проекту за рахунок власних коштів підприємства, у зв’язку із затримкою платежів ДП "НАЕК "Енергоатом" перед ДП "СхідГЗК" за договором на постачання уранового оксидного концентрату.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Показник «Рівень забезпечення шахти гірничо-прохідницьким та транспортним обладнанням (з урахуванням усіх джерел фінансування державного інвестиційного проекту)» перевиконано на 0,2 відсотка за рахунок збільшення обсягу фінансування на придбання такого обладнання за рахунок власних коштів підприємства.</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pStyle w:val="3"/>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Реалізація бюджетної програми дозволила частково, відповідно до обсягу видатків, встановлених у державному бюджеті на 2020 рік, досягти мети та виконати завдання затверджене паспортом бюджетної програми - реалізацію державного інвестиційного проекту «Новокостянтинівська шахта. Розвиток виробничих потужностей».</w:t>
      </w:r>
    </w:p>
    <w:p>
      <w:pPr>
        <w:pStyle w:val="3"/>
        <w:spacing w:after="0" w:line="240" w:lineRule="auto"/>
        <w:jc w:val="both"/>
        <w:rPr>
          <w:rFonts w:ascii="Times New Roman" w:hAnsi="Times New Roman" w:cs="Times New Roman"/>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3.8.</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2401430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0431</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Погашення заборгованості із заробітної плати працівникам ПрАТ «Шахта «Надія»</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spacing w:after="0" w:line="240" w:lineRule="auto"/>
              <w:rPr>
                <w:rFonts w:ascii="Times New Roman" w:hAnsi="Times New Roman" w:cs="Times New Roman"/>
                <w:sz w:val="24"/>
              </w:rPr>
            </w:pPr>
            <w:r>
              <w:rPr>
                <w:rFonts w:ascii="Times New Roman" w:hAnsi="Times New Roman" w:cs="Times New Roman"/>
                <w:sz w:val="24"/>
              </w:rPr>
              <w:t>Забезпечення створення гідних умов та належного рівня оплати праці шахтарів, ліквідація заборгованості перед шахтарями</w:t>
            </w: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Завдання бюджетної програми</w:t>
            </w:r>
          </w:p>
          <w:p>
            <w:pPr>
              <w:spacing w:after="0" w:line="240" w:lineRule="auto"/>
              <w:rPr>
                <w:rFonts w:ascii="Times New Roman" w:hAnsi="Times New Roman" w:cs="Times New Roman"/>
              </w:rPr>
            </w:pP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lastRenderedPageBreak/>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shd w:val="clear" w:color="auto" w:fill="auto"/>
          </w:tcPr>
          <w:p>
            <w:pPr>
              <w:spacing w:after="0" w:line="240" w:lineRule="auto"/>
              <w:rPr>
                <w:rFonts w:ascii="Times New Roman" w:hAnsi="Times New Roman" w:cs="Times New Roman"/>
              </w:rPr>
            </w:pPr>
            <w:r>
              <w:rPr>
                <w:rFonts w:ascii="Times New Roman" w:hAnsi="Times New Roman" w:cs="Times New Roman"/>
                <w:sz w:val="24"/>
              </w:rPr>
              <w:t>Забезпечення проведення розрахунків з погашення заборгованості з оплати праці та внесення обов’язкових платежів, пов’язаних з виплатою заробітної плати, працівникам ПрАТ «Шахта «Надія»</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51 000,0</w:t>
            </w:r>
          </w:p>
        </w:tc>
        <w:tc>
          <w:tcPr>
            <w:tcW w:w="3270" w:type="dxa"/>
            <w:vAlign w:val="center"/>
          </w:tcPr>
          <w:p>
            <w:pPr>
              <w:jc w:val="center"/>
              <w:rPr>
                <w:sz w:val="24"/>
                <w:szCs w:val="24"/>
              </w:rPr>
            </w:pPr>
            <w:r>
              <w:rPr>
                <w:sz w:val="24"/>
                <w:szCs w:val="24"/>
              </w:rPr>
              <w:t>51 000,0</w:t>
            </w:r>
          </w:p>
        </w:tc>
        <w:tc>
          <w:tcPr>
            <w:tcW w:w="2976" w:type="dxa"/>
          </w:tcPr>
          <w:p>
            <w:pPr>
              <w:jc w:val="center"/>
              <w:rPr>
                <w:sz w:val="24"/>
                <w:szCs w:val="24"/>
              </w:rPr>
            </w:pPr>
            <w:r>
              <w:rPr>
                <w:sz w:val="24"/>
                <w:szCs w:val="24"/>
              </w:rPr>
              <w:t>0</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51 000,0</w:t>
            </w:r>
          </w:p>
        </w:tc>
        <w:tc>
          <w:tcPr>
            <w:tcW w:w="3270" w:type="dxa"/>
            <w:vAlign w:val="center"/>
          </w:tcPr>
          <w:p>
            <w:pPr>
              <w:jc w:val="center"/>
              <w:rPr>
                <w:sz w:val="24"/>
                <w:szCs w:val="24"/>
              </w:rPr>
            </w:pPr>
            <w:r>
              <w:rPr>
                <w:sz w:val="24"/>
                <w:szCs w:val="24"/>
              </w:rPr>
              <w:t>51 000,0</w:t>
            </w:r>
          </w:p>
        </w:tc>
        <w:tc>
          <w:tcPr>
            <w:tcW w:w="2976" w:type="dxa"/>
          </w:tcPr>
          <w:p>
            <w:pPr>
              <w:jc w:val="center"/>
              <w:rPr>
                <w:sz w:val="24"/>
                <w:szCs w:val="24"/>
              </w:rPr>
            </w:pPr>
            <w:r>
              <w:rPr>
                <w:sz w:val="24"/>
                <w:szCs w:val="24"/>
              </w:rPr>
              <w:t>0</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осіб, яким погашено заборгованість з оплати праці та внесення </w:t>
            </w:r>
            <w:r>
              <w:rPr>
                <w:rFonts w:ascii="Times New Roman" w:hAnsi="Times New Roman" w:cs="Times New Roman"/>
                <w:sz w:val="24"/>
              </w:rPr>
              <w:t>обов’язкових платежів, пов’язаних з виплатою заробітної плати</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осіб</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rPr>
              <w:t xml:space="preserve">Рівень погашення заборгованості з оплати праці та внесення обов’язкових платежів, пов’язаних з виплатою заробітної </w:t>
            </w:r>
            <w:r>
              <w:rPr>
                <w:rFonts w:ascii="Times New Roman" w:hAnsi="Times New Roman" w:cs="Times New Roman"/>
                <w:sz w:val="24"/>
              </w:rPr>
              <w:lastRenderedPageBreak/>
              <w:t>плати, насамперед погашення заборгованості із сплати єдиного внеску на загальнообов’язкове державне соціальне страхування за 2020 рік відповідно до інвентаризації станом на 24.09.2020</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відс. </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89,5</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pStyle w:val="3"/>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У 2020 році кошти за бюджетною програмою КПКВК 2401430 "Погашення заборгованості із заробітної плати працівникам ПрАТ "Шахта "Надія"  використані повністю. Виділені бюджетні асигнування за зазначеною бюджетною програмою дозволили досягти мети та виконати завдання затверджене паспортом бюджетної програми.</w:t>
      </w:r>
    </w:p>
    <w:p>
      <w:pPr>
        <w:pStyle w:val="3"/>
        <w:spacing w:after="0" w:line="240" w:lineRule="auto"/>
        <w:jc w:val="both"/>
        <w:rPr>
          <w:rFonts w:ascii="Times New Roman" w:hAnsi="Times New Roman" w:cs="Times New Roman"/>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3.9.</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2401440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0433</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Внесок України до Енергетичного Співтовариства</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spacing w:after="0" w:line="240" w:lineRule="auto"/>
              <w:rPr>
                <w:rFonts w:ascii="Times New Roman" w:hAnsi="Times New Roman"/>
                <w:color w:val="000000"/>
                <w:sz w:val="24"/>
                <w:szCs w:val="24"/>
              </w:rPr>
            </w:pPr>
            <w:r>
              <w:rPr>
                <w:rFonts w:ascii="Times New Roman" w:hAnsi="Times New Roman"/>
                <w:color w:val="000000"/>
                <w:sz w:val="24"/>
                <w:szCs w:val="24"/>
              </w:rPr>
              <w:t>Забезпечення представництва України в Енергетичному Співтоваристві</w:t>
            </w:r>
          </w:p>
          <w:p>
            <w:pPr>
              <w:spacing w:after="0" w:line="240" w:lineRule="auto"/>
              <w:rPr>
                <w:rFonts w:ascii="Times New Roman" w:hAnsi="Times New Roman" w:cs="Times New Roman"/>
                <w:sz w:val="24"/>
              </w:rPr>
            </w:pP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rPr>
            </w:pPr>
            <w:r>
              <w:rPr>
                <w:rFonts w:ascii="Times New Roman" w:hAnsi="Times New Roman" w:cs="Times New Roman"/>
                <w:sz w:val="24"/>
              </w:rPr>
              <w:t>Завдання бюджетної програми</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olor w:val="000000"/>
                <w:sz w:val="24"/>
                <w:szCs w:val="24"/>
              </w:rPr>
              <w:t>Своєчасне та у повному обсязі виконання зобов'язань зі сплати внеску України до бюджету Енергетичного Співтовариства</w:t>
            </w:r>
            <w:r>
              <w:rPr>
                <w:rFonts w:ascii="Times New Roman" w:hAnsi="Times New Roman" w:cs="Times New Roman"/>
                <w:sz w:val="24"/>
                <w:szCs w:val="24"/>
              </w:rPr>
              <w:t> </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lastRenderedPageBreak/>
              <w:t>Всього</w:t>
            </w:r>
          </w:p>
        </w:tc>
        <w:tc>
          <w:tcPr>
            <w:tcW w:w="3269" w:type="dxa"/>
          </w:tcPr>
          <w:p>
            <w:pPr>
              <w:jc w:val="center"/>
              <w:rPr>
                <w:sz w:val="24"/>
                <w:szCs w:val="24"/>
              </w:rPr>
            </w:pPr>
            <w:r>
              <w:rPr>
                <w:sz w:val="24"/>
                <w:szCs w:val="24"/>
              </w:rPr>
              <w:t>5 395,7</w:t>
            </w:r>
          </w:p>
        </w:tc>
        <w:tc>
          <w:tcPr>
            <w:tcW w:w="3270" w:type="dxa"/>
            <w:vAlign w:val="center"/>
          </w:tcPr>
          <w:p>
            <w:pPr>
              <w:jc w:val="center"/>
              <w:rPr>
                <w:sz w:val="24"/>
                <w:szCs w:val="24"/>
              </w:rPr>
            </w:pPr>
            <w:r>
              <w:rPr>
                <w:sz w:val="24"/>
                <w:szCs w:val="24"/>
              </w:rPr>
              <w:t>5 395,7</w:t>
            </w:r>
          </w:p>
        </w:tc>
        <w:tc>
          <w:tcPr>
            <w:tcW w:w="2976" w:type="dxa"/>
          </w:tcPr>
          <w:p>
            <w:pPr>
              <w:jc w:val="center"/>
              <w:rPr>
                <w:sz w:val="24"/>
                <w:szCs w:val="24"/>
              </w:rPr>
            </w:pPr>
            <w:r>
              <w:rPr>
                <w:sz w:val="24"/>
                <w:szCs w:val="24"/>
              </w:rPr>
              <w:t>0</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5 395,7</w:t>
            </w:r>
          </w:p>
        </w:tc>
        <w:tc>
          <w:tcPr>
            <w:tcW w:w="3270" w:type="dxa"/>
            <w:vAlign w:val="center"/>
          </w:tcPr>
          <w:p>
            <w:pPr>
              <w:jc w:val="center"/>
              <w:rPr>
                <w:sz w:val="24"/>
                <w:szCs w:val="24"/>
              </w:rPr>
            </w:pPr>
            <w:r>
              <w:rPr>
                <w:sz w:val="24"/>
                <w:szCs w:val="24"/>
              </w:rPr>
              <w:t>5 395,7</w:t>
            </w:r>
          </w:p>
        </w:tc>
        <w:tc>
          <w:tcPr>
            <w:tcW w:w="2976" w:type="dxa"/>
          </w:tcPr>
          <w:p>
            <w:pPr>
              <w:jc w:val="center"/>
              <w:rPr>
                <w:sz w:val="24"/>
                <w:szCs w:val="24"/>
              </w:rPr>
            </w:pPr>
            <w:r>
              <w:rPr>
                <w:sz w:val="24"/>
                <w:szCs w:val="24"/>
              </w:rPr>
              <w:t>0</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Рівень виконання фінансових зобов'язань України перед Енергетичним Співтовариством зі сплати членських внесків</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pStyle w:val="3"/>
        <w:spacing w:after="0" w:line="240" w:lineRule="auto"/>
        <w:jc w:val="both"/>
        <w:rPr>
          <w:rFonts w:ascii="Times New Roman" w:hAnsi="Times New Roman" w:cs="Times New Roman"/>
          <w:sz w:val="24"/>
          <w:szCs w:val="24"/>
        </w:rPr>
      </w:pPr>
      <w:r>
        <w:rPr>
          <w:rFonts w:ascii="Times New Roman" w:hAnsi="Times New Roman" w:cs="Times New Roman"/>
          <w:sz w:val="24"/>
          <w:szCs w:val="24"/>
        </w:rPr>
        <w:t>У 2020 році за результатами аналізу виконання результативних показників за бюджетною програмою КПКВК 2401440 «Внесок України до Енергетичного Співтовариства» забезпечено досягнення мети та виконання завдань. Фінансові зобов’язання України перед Енергетичним Співтовариством виконано у повному обсязі.</w:t>
      </w:r>
    </w:p>
    <w:p>
      <w:pPr>
        <w:pStyle w:val="3"/>
        <w:spacing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3.10.</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2401470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0490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Виконання боргових зобов'язань за кредитами, залученими під державні гарантії, з метою реалізації проектів соціально-економічного розвитку</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spacing w:after="0" w:line="240" w:lineRule="auto"/>
              <w:rPr>
                <w:rFonts w:ascii="Times New Roman" w:hAnsi="Times New Roman" w:cs="Times New Roman"/>
                <w:sz w:val="24"/>
              </w:rPr>
            </w:pPr>
            <w:r>
              <w:rPr>
                <w:rFonts w:ascii="Times New Roman" w:hAnsi="Times New Roman"/>
                <w:color w:val="000000"/>
                <w:sz w:val="24"/>
                <w:szCs w:val="24"/>
              </w:rPr>
              <w:t>Виконання боргових зобов'язань за кредитом, залученим під державну гарантію для реалізації проекту соціально-економічного розвитку</w:t>
            </w: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Завдання бюджетної програми</w:t>
            </w:r>
          </w:p>
          <w:p>
            <w:pPr>
              <w:spacing w:after="0" w:line="240" w:lineRule="auto"/>
              <w:rPr>
                <w:rFonts w:ascii="Times New Roman" w:hAnsi="Times New Roman" w:cs="Times New Roman"/>
              </w:rPr>
            </w:pP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Відповідно до кредитної угоди своєчасне та у повному обсязі виконання боргових зобов'язань за кредитом, залученим під державну гарантію з метою реалізації проекту соціально-економічного розвитку «Будівництво першої черги Дністровської ГАЕС у складі трьох </w:t>
            </w:r>
            <w:r>
              <w:rPr>
                <w:rFonts w:ascii="Times New Roman" w:hAnsi="Times New Roman"/>
                <w:color w:val="000000"/>
                <w:sz w:val="24"/>
                <w:szCs w:val="24"/>
              </w:rPr>
              <w:lastRenderedPageBreak/>
              <w:t>агрегатів»</w:t>
            </w:r>
            <w:r>
              <w:rPr>
                <w:rFonts w:ascii="Times New Roman" w:hAnsi="Times New Roman" w:cs="Times New Roman"/>
                <w:sz w:val="24"/>
                <w:szCs w:val="24"/>
              </w:rPr>
              <w:t> </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289 748,6</w:t>
            </w:r>
          </w:p>
        </w:tc>
        <w:tc>
          <w:tcPr>
            <w:tcW w:w="3270" w:type="dxa"/>
            <w:vAlign w:val="center"/>
          </w:tcPr>
          <w:p>
            <w:pPr>
              <w:jc w:val="center"/>
              <w:rPr>
                <w:sz w:val="24"/>
                <w:szCs w:val="24"/>
              </w:rPr>
            </w:pPr>
            <w:r>
              <w:rPr>
                <w:sz w:val="24"/>
                <w:szCs w:val="24"/>
              </w:rPr>
              <w:t>199 496,6</w:t>
            </w:r>
          </w:p>
        </w:tc>
        <w:tc>
          <w:tcPr>
            <w:tcW w:w="2976" w:type="dxa"/>
          </w:tcPr>
          <w:p>
            <w:pPr>
              <w:jc w:val="center"/>
              <w:rPr>
                <w:sz w:val="24"/>
                <w:szCs w:val="24"/>
              </w:rPr>
            </w:pPr>
            <w:r>
              <w:rPr>
                <w:sz w:val="24"/>
                <w:szCs w:val="24"/>
              </w:rPr>
              <w:t>-90 252,0</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289 748,6</w:t>
            </w:r>
          </w:p>
        </w:tc>
        <w:tc>
          <w:tcPr>
            <w:tcW w:w="3270" w:type="dxa"/>
            <w:vAlign w:val="center"/>
          </w:tcPr>
          <w:p>
            <w:pPr>
              <w:jc w:val="center"/>
              <w:rPr>
                <w:sz w:val="24"/>
                <w:szCs w:val="24"/>
              </w:rPr>
            </w:pPr>
            <w:r>
              <w:rPr>
                <w:sz w:val="24"/>
                <w:szCs w:val="24"/>
              </w:rPr>
              <w:t>199 496,6</w:t>
            </w:r>
          </w:p>
        </w:tc>
        <w:tc>
          <w:tcPr>
            <w:tcW w:w="2976" w:type="dxa"/>
          </w:tcPr>
          <w:p>
            <w:pPr>
              <w:jc w:val="center"/>
              <w:rPr>
                <w:sz w:val="24"/>
                <w:szCs w:val="24"/>
              </w:rPr>
            </w:pPr>
            <w:r>
              <w:rPr>
                <w:sz w:val="24"/>
                <w:szCs w:val="24"/>
              </w:rPr>
              <w:t>-90 252,0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Частка боргу, що погашається у поточному році, у загальному обсязі боргу</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Частка кредиту (позики), що залишається непогашеною на кінець поточного року</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Відсоток вчасно виконаних боргових зобов'язань</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spacing w:after="0" w:line="240" w:lineRule="auto"/>
              <w:rPr>
                <w:rFonts w:ascii="Times New Roman" w:hAnsi="Times New Roman" w:cs="Times New Roman"/>
                <w:sz w:val="24"/>
                <w:szCs w:val="24"/>
              </w:rPr>
            </w:pPr>
            <w:r>
              <w:rPr>
                <w:rFonts w:ascii="Times New Roman" w:hAnsi="Times New Roman" w:cs="Times New Roman"/>
                <w:sz w:val="24"/>
                <w:szCs w:val="24"/>
              </w:rPr>
              <w:t>Відхилення фактичного показника якості від затвердженого в паспорті бюджетної програми зумовлене передбаченням можливості дострокового погашення частини кредиту у сумі 37 500 000,00 грн., яка не була використана</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pStyle w:val="3"/>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 2020 році передбачені видатки за бюджетною програмою КПКВК 2401470 «Виконання боргових зобов'язань за кредитами, залученими під державні гарантії, з метою реалізації проектів соціально-економічного розвитку» дали можливість досягти мети та забезпечити виконання завдань. Зобов'язання за кредитом, залученим під державну гарантію з метою реалізації проекту соціально-економічного розвитку "Будівництво першої черги Дністровської ГАЕС у складі трьох агрегатів"  виконано у повному обсязі.</w:t>
      </w:r>
    </w:p>
    <w:p>
      <w:pPr>
        <w:pStyle w:val="3"/>
        <w:spacing w:after="0" w:line="240" w:lineRule="auto"/>
        <w:jc w:val="both"/>
        <w:rPr>
          <w:rFonts w:ascii="Times New Roman" w:hAnsi="Times New Roman" w:cs="Times New Roman"/>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3.11.</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2401490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04</w:t>
            </w:r>
            <w:r>
              <w:rPr>
                <w:rFonts w:ascii="Times New Roman" w:hAnsi="Times New Roman" w:cs="Times New Roman"/>
                <w:b/>
                <w:sz w:val="24"/>
                <w:szCs w:val="24"/>
                <w:lang w:val="en-US"/>
              </w:rPr>
              <w:t>33</w:t>
            </w:r>
            <w:bookmarkStart w:id="0" w:name="_GoBack"/>
            <w:bookmarkEnd w:id="0"/>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Підтримка впровадження Енергетичної стратегії України</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Забезпечення реалізації положень Енергетичної стратегії України на період до 2035 року "Безпека, енергоефективність, конкурентноспроможність"</w:t>
            </w: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Завдання бюджетної програми</w:t>
            </w:r>
          </w:p>
          <w:p>
            <w:pPr>
              <w:spacing w:after="0" w:line="240" w:lineRule="auto"/>
              <w:rPr>
                <w:rFonts w:ascii="Times New Roman" w:hAnsi="Times New Roman" w:cs="Times New Roman"/>
              </w:rPr>
            </w:pP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Створення галузевого центру кібербезпеки паливно-енергетичного комплексу</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Інформаційно-аналітичне забезпечення впровадження Ініціативи прозорості у видобувних галузях</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Впровадження інформаційно-аналітичної системи для паспортизації об'єктів енергетичної інфраструктури</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Будівництво, реконструкція та технічне переоснащення підприємств паливно-енергетичного комплексу</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Створення умов для проведення випробувань нафтопродуктів з метою виявлення їхньої якості</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739 062,5</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-739 062,5</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739 062,5</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-739 062,5</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Результативні показники у 2020 році не було розроблено, у зв’язку з нерозподіленими коштами за бюджетною програмою.</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ind w:firstLine="567"/>
        <w:jc w:val="both"/>
        <w:rPr>
          <w:rFonts w:ascii="Times New Roman" w:hAnsi="Times New Roman" w:cs="Times New Roman"/>
          <w:sz w:val="24"/>
          <w:szCs w:val="24"/>
        </w:rPr>
      </w:pPr>
      <w:r>
        <w:rPr>
          <w:rFonts w:ascii="Times New Roman" w:hAnsi="Times New Roman" w:cs="Times New Roman"/>
          <w:sz w:val="24"/>
          <w:szCs w:val="24"/>
        </w:rPr>
        <w:t>У 2020 році передбачені видатки за бюджетною програмою КПКВК 2401490 «Підтримка впровадження Енергетичної стратегії України» не були використані у зв’язку з тим, що не внесено зміни до наказу Міністерства від 04 березня 2020 року № 140 «Про утворення Робочої групи з відбору заходів з розвитку галузі енергетики» та відсутні рішення щодо відбору заходів, які будуть фінансуватись за бюджетною програмою.</w:t>
      </w:r>
    </w:p>
    <w:p>
      <w:pPr>
        <w:pStyle w:val="3"/>
        <w:spacing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3.12.</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2401590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0431</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Реструктуризація вугільної галузі</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spacing w:after="0" w:line="240" w:lineRule="auto"/>
              <w:rPr>
                <w:rFonts w:ascii="Times New Roman" w:hAnsi="Times New Roman" w:cs="Times New Roman"/>
                <w:sz w:val="24"/>
                <w:szCs w:val="24"/>
              </w:rPr>
            </w:pPr>
            <w:r>
              <w:rPr>
                <w:rFonts w:ascii="Times New Roman" w:hAnsi="Times New Roman"/>
                <w:color w:val="000000"/>
                <w:sz w:val="24"/>
                <w:szCs w:val="24"/>
              </w:rPr>
              <w:t>Задоволення потреби галузей економіки у відповідному обсязі високоякісної товарної вугільної продукції, а також утримання об'єкту незавершеного будівництва шахти № 10 «Нововолинська» у безпечному та безаварійному стані</w:t>
            </w: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Завдання бюджетної програми</w:t>
            </w:r>
          </w:p>
          <w:p>
            <w:pPr>
              <w:spacing w:after="0" w:line="240" w:lineRule="auto"/>
              <w:rPr>
                <w:rFonts w:ascii="Times New Roman" w:hAnsi="Times New Roman" w:cs="Times New Roman"/>
              </w:rPr>
            </w:pP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Фінансове оздоровлення вугледобувних підприємств державного сектору економіки</w:t>
            </w:r>
            <w:r>
              <w:rPr>
                <w:rFonts w:ascii="Times New Roman" w:hAnsi="Times New Roman" w:cs="Times New Roman"/>
                <w:sz w:val="24"/>
                <w:szCs w:val="24"/>
              </w:rPr>
              <w:t> </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rPr>
              <w:t>2</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olor w:val="000000"/>
                <w:sz w:val="24"/>
                <w:szCs w:val="24"/>
              </w:rPr>
              <w:t>Запобігання аварійній ситуації, у зв'язку із можливим загазуванням та підтопленням гірничих виробок на шахті № 10 «Нововолинська»</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5 040 102,1</w:t>
            </w:r>
          </w:p>
        </w:tc>
        <w:tc>
          <w:tcPr>
            <w:tcW w:w="3270" w:type="dxa"/>
            <w:vAlign w:val="center"/>
          </w:tcPr>
          <w:p>
            <w:pPr>
              <w:jc w:val="center"/>
              <w:rPr>
                <w:sz w:val="24"/>
                <w:szCs w:val="24"/>
              </w:rPr>
            </w:pPr>
            <w:r>
              <w:rPr>
                <w:sz w:val="24"/>
                <w:szCs w:val="24"/>
              </w:rPr>
              <w:t>5 038 741,9</w:t>
            </w:r>
          </w:p>
        </w:tc>
        <w:tc>
          <w:tcPr>
            <w:tcW w:w="2976" w:type="dxa"/>
          </w:tcPr>
          <w:p>
            <w:pPr>
              <w:jc w:val="center"/>
              <w:rPr>
                <w:sz w:val="24"/>
                <w:szCs w:val="24"/>
              </w:rPr>
            </w:pPr>
            <w:r>
              <w:rPr>
                <w:sz w:val="24"/>
                <w:szCs w:val="24"/>
              </w:rPr>
              <w:t>-1 360,2</w:t>
            </w:r>
          </w:p>
        </w:tc>
      </w:tr>
      <w:tr>
        <w:trPr>
          <w:trHeight w:val="397"/>
          <w:jc w:val="center"/>
        </w:trPr>
        <w:tc>
          <w:tcPr>
            <w:tcW w:w="5931" w:type="dxa"/>
            <w:vAlign w:val="center"/>
          </w:tcPr>
          <w:p>
            <w:pPr>
              <w:rPr>
                <w:sz w:val="24"/>
                <w:szCs w:val="24"/>
              </w:rPr>
            </w:pPr>
            <w:r>
              <w:rPr>
                <w:sz w:val="24"/>
                <w:szCs w:val="24"/>
              </w:rPr>
              <w:lastRenderedPageBreak/>
              <w:t>у т. ч. загальний фонд</w:t>
            </w:r>
          </w:p>
        </w:tc>
        <w:tc>
          <w:tcPr>
            <w:tcW w:w="3269" w:type="dxa"/>
            <w:vAlign w:val="center"/>
          </w:tcPr>
          <w:p>
            <w:pPr>
              <w:jc w:val="center"/>
              <w:rPr>
                <w:sz w:val="24"/>
                <w:szCs w:val="24"/>
              </w:rPr>
            </w:pPr>
            <w:r>
              <w:rPr>
                <w:sz w:val="24"/>
                <w:szCs w:val="24"/>
              </w:rPr>
              <w:t>3 640 102,1</w:t>
            </w:r>
          </w:p>
        </w:tc>
        <w:tc>
          <w:tcPr>
            <w:tcW w:w="3270" w:type="dxa"/>
            <w:vAlign w:val="center"/>
          </w:tcPr>
          <w:p>
            <w:pPr>
              <w:jc w:val="center"/>
              <w:rPr>
                <w:sz w:val="24"/>
                <w:szCs w:val="24"/>
              </w:rPr>
            </w:pPr>
            <w:r>
              <w:rPr>
                <w:sz w:val="24"/>
                <w:szCs w:val="24"/>
              </w:rPr>
              <w:t>3 638 741,9</w:t>
            </w:r>
          </w:p>
        </w:tc>
        <w:tc>
          <w:tcPr>
            <w:tcW w:w="2976" w:type="dxa"/>
          </w:tcPr>
          <w:p>
            <w:pPr>
              <w:jc w:val="center"/>
              <w:rPr>
                <w:sz w:val="24"/>
                <w:szCs w:val="24"/>
              </w:rPr>
            </w:pPr>
            <w:r>
              <w:rPr>
                <w:sz w:val="24"/>
                <w:szCs w:val="24"/>
              </w:rPr>
              <w:t>-1 360,2</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1 400 000,0</w:t>
            </w:r>
          </w:p>
        </w:tc>
        <w:tc>
          <w:tcPr>
            <w:tcW w:w="3270" w:type="dxa"/>
            <w:vAlign w:val="center"/>
          </w:tcPr>
          <w:p>
            <w:pPr>
              <w:jc w:val="center"/>
              <w:rPr>
                <w:sz w:val="24"/>
                <w:szCs w:val="24"/>
              </w:rPr>
            </w:pPr>
            <w:r>
              <w:rPr>
                <w:sz w:val="24"/>
                <w:szCs w:val="24"/>
              </w:rPr>
              <w:t>1 400 000,0</w:t>
            </w:r>
          </w:p>
        </w:tc>
        <w:tc>
          <w:tcPr>
            <w:tcW w:w="2976" w:type="dxa"/>
          </w:tcPr>
          <w:p>
            <w:pPr>
              <w:jc w:val="center"/>
              <w:rPr>
                <w:sz w:val="24"/>
                <w:szCs w:val="24"/>
              </w:rPr>
            </w:pPr>
            <w:r>
              <w:rPr>
                <w:sz w:val="24"/>
                <w:szCs w:val="24"/>
              </w:rPr>
              <w:t>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087"/>
        <w:gridCol w:w="1276"/>
        <w:gridCol w:w="1275"/>
        <w:gridCol w:w="1349"/>
        <w:gridCol w:w="1283"/>
        <w:gridCol w:w="1054"/>
        <w:gridCol w:w="1276"/>
        <w:gridCol w:w="1134"/>
        <w:gridCol w:w="1275"/>
        <w:gridCol w:w="1101"/>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rPr>
              <w:t>Одиниця</w:t>
            </w:r>
            <w:r>
              <w:rPr>
                <w:rFonts w:ascii="Times New Roman" w:hAnsi="Times New Roman" w:cs="Times New Roman"/>
                <w:sz w:val="24"/>
                <w:szCs w:val="24"/>
              </w:rPr>
              <w:t xml:space="preserve"> виміру</w:t>
            </w:r>
          </w:p>
        </w:tc>
        <w:tc>
          <w:tcPr>
            <w:tcW w:w="3900"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613"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10"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087"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1349"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0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1101"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08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101"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Обсяг видобутого вугілля</w:t>
            </w:r>
          </w:p>
        </w:tc>
        <w:tc>
          <w:tcPr>
            <w:tcW w:w="108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тис.тонн</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4116,4</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4116,4</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2812,6</w:t>
            </w:r>
          </w:p>
        </w:tc>
        <w:tc>
          <w:tcPr>
            <w:tcW w:w="10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2812,6</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-1303,8</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-1303,8</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Кількість осіб, яким виплачується зарплата</w:t>
            </w:r>
          </w:p>
        </w:tc>
        <w:tc>
          <w:tcPr>
            <w:tcW w:w="108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чол.</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20 645</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20 645</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26 630</w:t>
            </w:r>
          </w:p>
        </w:tc>
        <w:tc>
          <w:tcPr>
            <w:tcW w:w="10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26 630</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5985</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5985</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Рівень покриття витрат з оплати праці та сплати обов'язкових зборів і платежів, пов'язаних з її виплатою, за рахунок коштів державного бюджет</w:t>
            </w:r>
          </w:p>
        </w:tc>
        <w:tc>
          <w:tcPr>
            <w:tcW w:w="108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84,4</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84,4</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94,7</w:t>
            </w:r>
          </w:p>
        </w:tc>
        <w:tc>
          <w:tcPr>
            <w:tcW w:w="10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94,7</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Об'єм відкачаного припливу води до діючих гірничих виробок шахти №10 "Нововолинська"</w:t>
            </w:r>
          </w:p>
        </w:tc>
        <w:tc>
          <w:tcPr>
            <w:tcW w:w="108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тис.куб.м</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517,9</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517,9</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10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Рівень виконання робіт з обслуговування та підтримки в безаварійному та безпечному стані підземних об'єктів, надземних будівель, споруд, а також основних технологічних вузлів вже споруджених </w:t>
            </w:r>
            <w:r>
              <w:rPr>
                <w:rFonts w:ascii="Times New Roman" w:hAnsi="Times New Roman" w:cs="Times New Roman"/>
                <w:sz w:val="24"/>
                <w:szCs w:val="24"/>
              </w:rPr>
              <w:lastRenderedPageBreak/>
              <w:t>потужностей шахти №10 "Нововолинська"</w:t>
            </w:r>
          </w:p>
        </w:tc>
        <w:tc>
          <w:tcPr>
            <w:tcW w:w="108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відс.</w:t>
            </w: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101"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За 2020 рік вугледобувними підприємствами Міненерго, що отримують державну підтримку, видобуто 2 812,6 тис. тонн рядового вугілля, що на 1303,8 тис. тонн менше ніж затверджено паспортом. Дефіцит коштів на технічне переоснащення вугледобувних підприємств Міненерго, призвів до зменшення кількості очисних вибоїв, що є основним фактором невиконання встановленого плану з видобутку вугілля, а з урахуванням значного зносу основних фондів призвело до значного падіння вуглевидобутку. Через відсутність гірничошахтного обладнання видобуток вугілля в 14 очисних вибоях, здійснюється відбійними молотками.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При складанні паспорту врахована лише фактична чисельність працівників на підземних роботах за 2019 рік. Відповідно до показників розрахованих на плановий обсяг видобутку рядового вугілля чисельність працівників, яким виплачується зарплата за рахунок бюджетних коштів, складається з працівників на підземних роботах та чисельності працівників на поверхні, зарплата яких відноситься до витрат із виробничої собівартості товарної вугільної продукції. Таким чином, плановий показник становить 34 195 осіб. Фактичний показник становить 26 630 осіб. Тобто, фактично чисельність працівників, яким виплачується зарплата за рахунок бюджетних коштів, менше планової на 7 565 осіб.</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Рівень покриття витрат з оплати праці та сплати обов'язкових зборів і платежів, пов'язаних з її виплатою, за рахунок коштів державного бюджету більше на 10,3 % за рахунок зменшення витрат на оплату праці на 551,8 млн. грн.</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Відхилення показника  на 3,1 тис. куб. м пов'язане з фактичним об'ємом відкачаного припливу води, підтвердженого довідкою про гідрогеологічні умови на будівництві шахти № 10 "Нововолинська".</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pStyle w:val="3"/>
        <w:spacing w:before="120" w:after="0" w:line="240" w:lineRule="auto"/>
        <w:rPr>
          <w:rFonts w:ascii="Times New Roman" w:hAnsi="Times New Roman" w:cs="Times New Roman"/>
          <w:sz w:val="24"/>
          <w:szCs w:val="24"/>
        </w:rPr>
      </w:pPr>
      <w:r>
        <w:rPr>
          <w:rFonts w:ascii="Times New Roman" w:hAnsi="Times New Roman" w:cs="Times New Roman"/>
          <w:sz w:val="24"/>
          <w:szCs w:val="24"/>
        </w:rPr>
        <w:t>Бюджетні кошти у 2020 році за бюджетною програмою КПКВК 2401590 «Реструктуризація вугільної галузі» використані з метою задоволення потреби галузей економіки у відповідному обсязі високоякісної товарної вугільної продукції, а також утримання об'єкту незавершеного будівництва шахти № 10 «Нововолинська» у безпечному та безаварійному стані.</w:t>
      </w:r>
    </w:p>
    <w:p>
      <w:pPr>
        <w:pStyle w:val="3"/>
        <w:spacing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3.13.</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2401610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0433</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Реконструкція гідроелектростанцій ПАТ «Укргідроенерго»</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Мета бюджетної програми </w:t>
            </w:r>
          </w:p>
          <w:p>
            <w:pPr>
              <w:spacing w:after="0" w:line="240" w:lineRule="auto"/>
              <w:rPr>
                <w:rFonts w:ascii="Times New Roman" w:hAnsi="Times New Roman"/>
                <w:color w:val="000000"/>
                <w:sz w:val="24"/>
                <w:szCs w:val="24"/>
              </w:rPr>
            </w:pPr>
            <w:r>
              <w:rPr>
                <w:rFonts w:ascii="Times New Roman" w:hAnsi="Times New Roman"/>
                <w:color w:val="000000"/>
                <w:sz w:val="24"/>
                <w:szCs w:val="24"/>
              </w:rPr>
              <w:t>Доведення існуючих режимів роботи ГЕС ПрАТ «Укргідроенерго» до європейських стандартів</w:t>
            </w:r>
          </w:p>
          <w:p>
            <w:pPr>
              <w:spacing w:after="0" w:line="240" w:lineRule="auto"/>
              <w:rPr>
                <w:rFonts w:ascii="Times New Roman" w:hAnsi="Times New Roman" w:cs="Times New Roman"/>
                <w:sz w:val="24"/>
              </w:rPr>
            </w:pP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rPr>
            </w:pPr>
            <w:r>
              <w:rPr>
                <w:rFonts w:ascii="Times New Roman" w:hAnsi="Times New Roman" w:cs="Times New Roman"/>
                <w:sz w:val="24"/>
              </w:rPr>
              <w:t>Завдання бюджетної програми</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Введення в експлуатацію реконструйованих гідроагрегатів, оплата за поставлене обладнання, введене в експлуатацію обладнання, надані консультаційні послуги</w:t>
            </w:r>
            <w:r>
              <w:rPr>
                <w:rFonts w:ascii="Times New Roman" w:hAnsi="Times New Roman" w:cs="Times New Roman"/>
                <w:sz w:val="24"/>
                <w:szCs w:val="24"/>
              </w:rPr>
              <w:t> </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796 779,0</w:t>
            </w:r>
          </w:p>
        </w:tc>
        <w:tc>
          <w:tcPr>
            <w:tcW w:w="3270" w:type="dxa"/>
            <w:vAlign w:val="center"/>
          </w:tcPr>
          <w:p>
            <w:pPr>
              <w:jc w:val="center"/>
              <w:rPr>
                <w:sz w:val="24"/>
                <w:szCs w:val="24"/>
              </w:rPr>
            </w:pPr>
            <w:r>
              <w:rPr>
                <w:sz w:val="24"/>
                <w:szCs w:val="24"/>
              </w:rPr>
              <w:t>515 650,4</w:t>
            </w:r>
          </w:p>
        </w:tc>
        <w:tc>
          <w:tcPr>
            <w:tcW w:w="2976" w:type="dxa"/>
          </w:tcPr>
          <w:p>
            <w:pPr>
              <w:jc w:val="center"/>
              <w:rPr>
                <w:sz w:val="24"/>
                <w:szCs w:val="24"/>
              </w:rPr>
            </w:pPr>
            <w:r>
              <w:rPr>
                <w:sz w:val="24"/>
                <w:szCs w:val="24"/>
              </w:rPr>
              <w:t>-281 128,6</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796 779,0</w:t>
            </w:r>
          </w:p>
        </w:tc>
        <w:tc>
          <w:tcPr>
            <w:tcW w:w="3270" w:type="dxa"/>
            <w:vAlign w:val="center"/>
          </w:tcPr>
          <w:p>
            <w:pPr>
              <w:jc w:val="center"/>
              <w:rPr>
                <w:sz w:val="24"/>
                <w:szCs w:val="24"/>
              </w:rPr>
            </w:pPr>
            <w:r>
              <w:rPr>
                <w:sz w:val="24"/>
                <w:szCs w:val="24"/>
              </w:rPr>
              <w:t>515 650,4</w:t>
            </w:r>
          </w:p>
        </w:tc>
        <w:tc>
          <w:tcPr>
            <w:tcW w:w="2976" w:type="dxa"/>
          </w:tcPr>
          <w:p>
            <w:pPr>
              <w:jc w:val="center"/>
              <w:rPr>
                <w:sz w:val="24"/>
                <w:szCs w:val="24"/>
              </w:rPr>
            </w:pPr>
            <w:r>
              <w:rPr>
                <w:sz w:val="24"/>
                <w:szCs w:val="24"/>
              </w:rPr>
              <w:t>-281 128,6</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щомісячних звітів, підготовлених Консультантом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поставлених вузлів та комплектів обладнання за контрактами на реконструкцію гідроагрегатів на Канівській ГЕС, Київській ГАЕС, ДніпроГЕС-1, ДніпроГЕС-2, Середньодніпровській ГЕС та Кременчуцькій ГЕС</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Кількість поставлених систем за контрактом </w:t>
            </w:r>
            <w:r>
              <w:rPr>
                <w:rFonts w:ascii="Times New Roman" w:hAnsi="Times New Roman"/>
                <w:color w:val="000000"/>
                <w:sz w:val="24"/>
                <w:szCs w:val="24"/>
              </w:rPr>
              <w:lastRenderedPageBreak/>
              <w:t>на реконструкцію 8 агрегатних систем управління та захисту та 2 блочних систем управління та захисту на Канівській ГЕС</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Рівень реалізації Проєкту за рахунок кредитних коштів ЄІБ</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33,5</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Введення додаткової потужності</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1275"/>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24"/>
                <w:szCs w:val="24"/>
              </w:rPr>
              <w:t>Через коливання курсу гривні у співвідношенні до євро у 2020 році отримано Транш ЄІБ № 4 у розмірі 23 млн євро (замість запланованих 30 млн євро), в межах коштів передбачених в державному бюджеті на 2020 рік за бюджетною програмою 2401610.</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Передбачені видатки за бюджетною програмою КПКВК 2401610 «Реконструкція гідроелектростанцій «ПАТ «Укргідроенерго» дали можливість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досягти мети бюджетної програми та забезпечити виконання завдань.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olor w:val="000000"/>
          <w:sz w:val="24"/>
          <w:szCs w:val="24"/>
        </w:rPr>
      </w:pPr>
    </w:p>
    <w:p>
      <w:pPr>
        <w:pStyle w:val="3"/>
        <w:spacing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3.14.</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2401630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0433</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b/>
                <w:color w:val="000000"/>
                <w:sz w:val="24"/>
                <w:szCs w:val="24"/>
              </w:rPr>
              <w:t>Впровадження Програми реформування та розвитку енергетичного сектора</w:t>
            </w:r>
            <w:r>
              <w:rPr>
                <w:rFonts w:ascii="Times New Roman" w:hAnsi="Times New Roman" w:cs="Times New Roman"/>
                <w:b/>
                <w:sz w:val="24"/>
                <w:szCs w:val="24"/>
              </w:rPr>
              <w:t xml:space="preserve"> </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spacing w:after="0" w:line="240" w:lineRule="auto"/>
              <w:rPr>
                <w:rFonts w:ascii="Times New Roman" w:hAnsi="Times New Roman"/>
                <w:color w:val="000000"/>
                <w:sz w:val="24"/>
                <w:szCs w:val="24"/>
              </w:rPr>
            </w:pPr>
            <w:r>
              <w:rPr>
                <w:rFonts w:ascii="Times New Roman" w:hAnsi="Times New Roman"/>
                <w:color w:val="000000"/>
                <w:sz w:val="24"/>
                <w:szCs w:val="24"/>
              </w:rPr>
              <w:t>Впровадження Програми реформування та розвитку в енергетичному секторі України, поліпшення прозорості видобувних галузей</w:t>
            </w: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rPr>
            </w:pPr>
            <w:r>
              <w:rPr>
                <w:rFonts w:ascii="Times New Roman" w:hAnsi="Times New Roman" w:cs="Times New Roman"/>
                <w:sz w:val="24"/>
              </w:rPr>
              <w:t>Завдання бюджетної програми</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Забезпечення інституційної підтримки здійснення реформ в енергетичному секторі у відповідності до зобов'язань України в рамках членства в Енергетичному співтоваристві і виконання Угоди про асоціацію з ЄС</w:t>
            </w:r>
            <w:r>
              <w:rPr>
                <w:rFonts w:ascii="Times New Roman" w:hAnsi="Times New Roman" w:cs="Times New Roman"/>
                <w:sz w:val="24"/>
                <w:szCs w:val="24"/>
              </w:rPr>
              <w:t> </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olor w:val="000000"/>
                <w:sz w:val="24"/>
                <w:szCs w:val="24"/>
              </w:rPr>
              <w:t>Підготовка та реалізація Концепції реструктуризації вугільної промисловості</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olor w:val="000000"/>
                <w:sz w:val="24"/>
                <w:szCs w:val="24"/>
              </w:rPr>
              <w:t>Підготовка та реалізація Концепції комплексного впровадження «розумних мереж» в Україні та Плану заходів з впровадження розумних мереж в Україні</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olor w:val="000000"/>
                <w:sz w:val="24"/>
                <w:szCs w:val="24"/>
              </w:rPr>
              <w:t>Підтримка процесу забезпечення реалізації Ініціативи з прозорості видобувних галузей</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 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30 366,8</w:t>
            </w:r>
          </w:p>
        </w:tc>
        <w:tc>
          <w:tcPr>
            <w:tcW w:w="3270" w:type="dxa"/>
            <w:vAlign w:val="center"/>
          </w:tcPr>
          <w:p>
            <w:pPr>
              <w:jc w:val="center"/>
              <w:rPr>
                <w:sz w:val="24"/>
                <w:szCs w:val="24"/>
              </w:rPr>
            </w:pPr>
            <w:r>
              <w:rPr>
                <w:sz w:val="24"/>
                <w:szCs w:val="24"/>
              </w:rPr>
              <w:t>13 238,8</w:t>
            </w:r>
          </w:p>
        </w:tc>
        <w:tc>
          <w:tcPr>
            <w:tcW w:w="2976" w:type="dxa"/>
          </w:tcPr>
          <w:p>
            <w:pPr>
              <w:jc w:val="center"/>
              <w:rPr>
                <w:sz w:val="24"/>
                <w:szCs w:val="24"/>
                <w:lang w:val="en-US"/>
              </w:rPr>
            </w:pPr>
            <w:r>
              <w:rPr>
                <w:sz w:val="24"/>
                <w:szCs w:val="24"/>
              </w:rPr>
              <w:t>-17 128,0</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3 200,0</w:t>
            </w:r>
          </w:p>
        </w:tc>
        <w:tc>
          <w:tcPr>
            <w:tcW w:w="3270" w:type="dxa"/>
            <w:vAlign w:val="center"/>
          </w:tcPr>
          <w:p>
            <w:pPr>
              <w:jc w:val="center"/>
              <w:rPr>
                <w:sz w:val="24"/>
                <w:szCs w:val="24"/>
              </w:rPr>
            </w:pPr>
            <w:r>
              <w:rPr>
                <w:sz w:val="24"/>
                <w:szCs w:val="24"/>
              </w:rPr>
              <w:t>3 184,0</w:t>
            </w:r>
          </w:p>
        </w:tc>
        <w:tc>
          <w:tcPr>
            <w:tcW w:w="2976" w:type="dxa"/>
          </w:tcPr>
          <w:p>
            <w:pPr>
              <w:jc w:val="center"/>
              <w:rPr>
                <w:sz w:val="24"/>
                <w:szCs w:val="24"/>
              </w:rPr>
            </w:pPr>
            <w:r>
              <w:rPr>
                <w:sz w:val="24"/>
                <w:szCs w:val="24"/>
              </w:rPr>
              <w:t>-16,0</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27 166,8</w:t>
            </w:r>
          </w:p>
        </w:tc>
        <w:tc>
          <w:tcPr>
            <w:tcW w:w="3270" w:type="dxa"/>
            <w:vAlign w:val="center"/>
          </w:tcPr>
          <w:p>
            <w:pPr>
              <w:jc w:val="center"/>
              <w:rPr>
                <w:sz w:val="24"/>
                <w:szCs w:val="24"/>
              </w:rPr>
            </w:pPr>
            <w:r>
              <w:rPr>
                <w:sz w:val="24"/>
                <w:szCs w:val="24"/>
              </w:rPr>
              <w:t>10 054,8</w:t>
            </w:r>
          </w:p>
        </w:tc>
        <w:tc>
          <w:tcPr>
            <w:tcW w:w="2976" w:type="dxa"/>
          </w:tcPr>
          <w:p>
            <w:pPr>
              <w:jc w:val="center"/>
              <w:rPr>
                <w:sz w:val="24"/>
                <w:szCs w:val="24"/>
              </w:rPr>
            </w:pPr>
            <w:r>
              <w:rPr>
                <w:sz w:val="24"/>
                <w:szCs w:val="24"/>
              </w:rPr>
              <w:t>-17 112,0</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укладених контрактів для надання консультаційних послуг</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Рівень реалізації Другого проекту з передачі електроенергії в частині інституційного розвитку Міністерства за рахунок кредитних коштів Світового банку на кінець року</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63,7</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Рівень готовності програмних документів у енергетичному секторі</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37,3</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Рівень готовності Звіту Ініціативи </w:t>
            </w:r>
            <w:r>
              <w:rPr>
                <w:rFonts w:ascii="Times New Roman" w:hAnsi="Times New Roman"/>
                <w:color w:val="000000"/>
                <w:sz w:val="24"/>
                <w:szCs w:val="24"/>
              </w:rPr>
              <w:lastRenderedPageBreak/>
              <w:t>прозорості видобувних галузей України за 2017 рік</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Рівень готовності Звіту Ініціативи прозорості видобувних галузей України за 2019 рік</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1989"/>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24"/>
                <w:szCs w:val="24"/>
              </w:rPr>
              <w:t>Розбіжність між затвердженими та фактичними показниками пояснюються низкою причин: 1) зміна законодавства, зокрема, відповідно до постанови Кабінету Міністрів України від 27.05.2020 № 425 "Деякі питання оптимізації системи центральних органів виконавчої влади" Міністерство енергетики та захисту довкілля України перейменовано на Міністерство енергетики України; 2) запобіжні заходи прийняті проти поширення пандемії COVID-19, які ускладнили проведення необхідних заходів, а також виключили реалізацію навчання співробітників міністерства; 3) затримка узгодження тендерних документів, викликана як кадровими змінами в Мінекоенерго та Міненерго, так і необхідністю узгодження документації із Світовим банком; 4) складність підготовки комплексних документів в енергетичному секторі, що призводить до продовження термінів розробки таких документів консультантами, для отримання якісних результатів консультанти мають виконувати додаткові дослідження, звітність за контрактами доповнюється додатковими звітами.</w:t>
            </w:r>
          </w:p>
        </w:tc>
      </w:tr>
    </w:tbl>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s="Times New Roman"/>
          <w:b/>
          <w:sz w:val="24"/>
          <w:szCs w:val="24"/>
        </w:rPr>
      </w:pP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Узагальнений висновок про досягнення запланованої мети, завдань бюджетної програми: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 2020 році підготовлено Звіт Ініціативи прозорості видобувних галузей України за 2017 рік, який отримав високу оцінку Міжнародного секретаріату ІПВГ.</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 рахунок коштів бюджетної програми виконано значну аналітичну та правову роботу спрямовану на підтримку реформування та розвитку енергетичного сектора. В рамках правової підтримки надано допомогу міністерству у підготовці ряду законопроектів, зокрема, проекту Закону України "Про проекти національного інтересу в сфері енергетики", підготовлено пропозиції щодо внесення змін до національного законодавства України щодо виконання вимог законодавчих актів ЄС та передачі Оператора газотранспортної системи і Оператора системи передачі, зокрема, до законів: "Про Кабінет Міністрів України", "Про управління об'єктами державної власності", "Про ринок природного газу" "Про трубопровідний транспорт", "Про ринок електричної енергії", а також до Господарського кодексу України.</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Надано правову та аналітичну підтримку процесу взаємодії з органами Енергетичного Співтовариства справ щодо виконання Україною своїх зобов'язань в рамках Договору про заснування Енергетичного Співтовариства.</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Протягом 2020 року за рахунок коштів бюджетної програми частково підготовлено: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проект Концепції комплексного впровадження "розумних мереж" в Україні до 2035 р. та проект Середньострокового плану заходів з впровадження розумних мереж в Україні;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проект Стратегії енергетичної безпеки України;</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проект Звіту Ініціативи прозорості видобувних галузей України за 2018 рік.</w:t>
      </w:r>
    </w:p>
    <w:p>
      <w:pPr>
        <w:pStyle w:val="3"/>
        <w:spacing w:before="120" w:after="0" w:line="240" w:lineRule="auto"/>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3.15.</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2403010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0434</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Керівництво та управління у сфері енергетичного нагляду</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spacing w:after="0" w:line="240" w:lineRule="auto"/>
              <w:rPr>
                <w:rFonts w:ascii="Times New Roman" w:hAnsi="Times New Roman"/>
                <w:color w:val="000000"/>
                <w:sz w:val="24"/>
                <w:szCs w:val="24"/>
              </w:rPr>
            </w:pPr>
            <w:r>
              <w:rPr>
                <w:rFonts w:ascii="Times New Roman" w:hAnsi="Times New Roman"/>
                <w:color w:val="000000"/>
                <w:sz w:val="24"/>
                <w:szCs w:val="24"/>
              </w:rPr>
              <w:t>Підвищення надійності енергетичного обладнання, стимулювання здійснення технічної модернізації об'єктів енергетичного сектору, відновлення мереж шляхом реалізації державної політики у сфері нагляду (контролю) у галузях  електроенергетики та теплопостачання</w:t>
            </w:r>
          </w:p>
          <w:p>
            <w:pPr>
              <w:spacing w:after="0" w:line="240" w:lineRule="auto"/>
              <w:rPr>
                <w:rFonts w:ascii="Times New Roman" w:hAnsi="Times New Roman" w:cs="Times New Roman"/>
                <w:sz w:val="24"/>
              </w:rPr>
            </w:pP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sz w:val="24"/>
              </w:rPr>
            </w:pPr>
            <w:r>
              <w:rPr>
                <w:rFonts w:ascii="Times New Roman" w:hAnsi="Times New Roman" w:cs="Times New Roman"/>
                <w:sz w:val="24"/>
              </w:rPr>
              <w:t>Завдання бюджетної програми</w:t>
            </w:r>
          </w:p>
          <w:p>
            <w:pPr>
              <w:spacing w:after="0" w:line="240" w:lineRule="auto"/>
              <w:rPr>
                <w:rFonts w:ascii="Times New Roman" w:hAnsi="Times New Roman" w:cs="Times New Roman"/>
              </w:rPr>
            </w:pP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olor w:val="000000"/>
                <w:sz w:val="24"/>
                <w:szCs w:val="24"/>
              </w:rPr>
              <w:t>Здійснення державного енергетичного нагляду (контролю) за дотриманням суб'єктами електроенергетики та теплопостачання  вимог правил та інших нормативно-правових актів і нормативних документів з питань технічної експлуатації енергетичного обладнання</w:t>
            </w:r>
            <w:r>
              <w:rPr>
                <w:rFonts w:ascii="Times New Roman" w:hAnsi="Times New Roman" w:cs="Times New Roman"/>
                <w:sz w:val="24"/>
                <w:szCs w:val="24"/>
              </w:rPr>
              <w:t> </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rPr>
              <w:t>2</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Внесення пропозицій щодо забезпечення формування державної політики у сфері нагляду (контролю) у галузях електроенергетики та теплопостачання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Надання висновків щодо пріоритетності технічних рішень для розвитку системи передачі та систем розподілу, передбачених проектами інвестиційних програм оператора системи передачі та операторів систем розподілу</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Проведення оцінки стану готовності енергетичного обладнання суб'єктів електроенергетики та теплопостачання до роботи в осінньо-зимовий період та в інших умовах, що впливають на надійність та безпечність енергопостачання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rPr>
            </w:pPr>
            <w:r>
              <w:rPr>
                <w:rFonts w:ascii="Times New Roman" w:hAnsi="Times New Roman" w:cs="Times New Roman"/>
                <w:sz w:val="24"/>
              </w:rPr>
              <w:t>5</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Розслідування причин і наслідків аварій і пожеж на обладнанні електричних мереж учасників ринку електричної енергії та суб'єктів відносин у сфері теплопостачання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sz w:val="24"/>
              </w:rPr>
            </w:pPr>
            <w:r>
              <w:rPr>
                <w:rFonts w:ascii="Times New Roman" w:hAnsi="Times New Roman" w:cs="Times New Roman"/>
                <w:sz w:val="24"/>
              </w:rPr>
              <w:t>6</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Розгляд спірних питань, що виникають між учасниками ринку електричної енергії, суб'єктами відносин у сфері теплопостачання</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201 974,0</w:t>
            </w:r>
          </w:p>
        </w:tc>
        <w:tc>
          <w:tcPr>
            <w:tcW w:w="3270" w:type="dxa"/>
            <w:vAlign w:val="center"/>
          </w:tcPr>
          <w:p>
            <w:pPr>
              <w:jc w:val="center"/>
              <w:rPr>
                <w:sz w:val="24"/>
                <w:szCs w:val="24"/>
              </w:rPr>
            </w:pPr>
            <w:r>
              <w:rPr>
                <w:sz w:val="24"/>
                <w:szCs w:val="24"/>
              </w:rPr>
              <w:t>193 514,5</w:t>
            </w:r>
          </w:p>
        </w:tc>
        <w:tc>
          <w:tcPr>
            <w:tcW w:w="2976" w:type="dxa"/>
          </w:tcPr>
          <w:p>
            <w:pPr>
              <w:jc w:val="center"/>
              <w:rPr>
                <w:sz w:val="24"/>
                <w:szCs w:val="24"/>
              </w:rPr>
            </w:pPr>
            <w:r>
              <w:rPr>
                <w:sz w:val="24"/>
                <w:szCs w:val="24"/>
              </w:rPr>
              <w:t>-8 459,5</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lang w:val="en-US"/>
              </w:rPr>
            </w:pPr>
            <w:r>
              <w:rPr>
                <w:sz w:val="24"/>
                <w:szCs w:val="24"/>
              </w:rPr>
              <w:t>200 924,0</w:t>
            </w:r>
          </w:p>
        </w:tc>
        <w:tc>
          <w:tcPr>
            <w:tcW w:w="3270" w:type="dxa"/>
            <w:vAlign w:val="center"/>
          </w:tcPr>
          <w:p>
            <w:pPr>
              <w:jc w:val="center"/>
              <w:rPr>
                <w:sz w:val="24"/>
                <w:szCs w:val="24"/>
              </w:rPr>
            </w:pPr>
            <w:r>
              <w:rPr>
                <w:sz w:val="24"/>
                <w:szCs w:val="24"/>
              </w:rPr>
              <w:t>193 052,1</w:t>
            </w:r>
          </w:p>
        </w:tc>
        <w:tc>
          <w:tcPr>
            <w:tcW w:w="2976" w:type="dxa"/>
          </w:tcPr>
          <w:p>
            <w:pPr>
              <w:jc w:val="center"/>
              <w:rPr>
                <w:sz w:val="24"/>
                <w:szCs w:val="24"/>
              </w:rPr>
            </w:pPr>
            <w:r>
              <w:rPr>
                <w:sz w:val="24"/>
                <w:szCs w:val="24"/>
              </w:rPr>
              <w:t>-7 871,9</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1 050,0</w:t>
            </w:r>
          </w:p>
        </w:tc>
        <w:tc>
          <w:tcPr>
            <w:tcW w:w="3270" w:type="dxa"/>
            <w:vAlign w:val="center"/>
          </w:tcPr>
          <w:p>
            <w:pPr>
              <w:jc w:val="center"/>
              <w:rPr>
                <w:sz w:val="24"/>
                <w:szCs w:val="24"/>
              </w:rPr>
            </w:pPr>
            <w:r>
              <w:rPr>
                <w:sz w:val="24"/>
                <w:szCs w:val="24"/>
              </w:rPr>
              <w:t>462,4</w:t>
            </w:r>
          </w:p>
        </w:tc>
        <w:tc>
          <w:tcPr>
            <w:tcW w:w="2976" w:type="dxa"/>
          </w:tcPr>
          <w:p>
            <w:pPr>
              <w:jc w:val="center"/>
              <w:rPr>
                <w:sz w:val="24"/>
                <w:szCs w:val="24"/>
              </w:rPr>
            </w:pPr>
            <w:r>
              <w:rPr>
                <w:sz w:val="24"/>
                <w:szCs w:val="24"/>
              </w:rPr>
              <w:t>-587,6</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 xml:space="preserve">загальний </w:t>
            </w:r>
            <w:r>
              <w:rPr>
                <w:rFonts w:ascii="Times New Roman" w:hAnsi="Times New Roman" w:cs="Times New Roman"/>
                <w:sz w:val="24"/>
                <w:szCs w:val="24"/>
              </w:rPr>
              <w:lastRenderedPageBreak/>
              <w:t>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lastRenderedPageBreak/>
              <w:t xml:space="preserve">спеціальний </w:t>
            </w:r>
            <w:r>
              <w:rPr>
                <w:rFonts w:ascii="Times New Roman" w:hAnsi="Times New Roman" w:cs="Times New Roman"/>
                <w:sz w:val="24"/>
                <w:szCs w:val="24"/>
              </w:rPr>
              <w:lastRenderedPageBreak/>
              <w:t>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lastRenderedPageBreak/>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 xml:space="preserve">загальний </w:t>
            </w:r>
            <w:r>
              <w:rPr>
                <w:rFonts w:ascii="Times New Roman" w:hAnsi="Times New Roman" w:cs="Times New Roman"/>
                <w:sz w:val="24"/>
                <w:szCs w:val="24"/>
              </w:rPr>
              <w:lastRenderedPageBreak/>
              <w:t>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lastRenderedPageBreak/>
              <w:t xml:space="preserve">спеціальний </w:t>
            </w:r>
            <w:r>
              <w:rPr>
                <w:rFonts w:ascii="Times New Roman" w:hAnsi="Times New Roman" w:cs="Times New Roman"/>
                <w:sz w:val="24"/>
                <w:szCs w:val="24"/>
              </w:rPr>
              <w:lastRenderedPageBreak/>
              <w:t>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lastRenderedPageBreak/>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 xml:space="preserve">загальний </w:t>
            </w:r>
            <w:r>
              <w:rPr>
                <w:rFonts w:ascii="Times New Roman" w:hAnsi="Times New Roman" w:cs="Times New Roman"/>
                <w:sz w:val="24"/>
                <w:szCs w:val="24"/>
              </w:rPr>
              <w:lastRenderedPageBreak/>
              <w:t>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lastRenderedPageBreak/>
              <w:t xml:space="preserve">спеціальний </w:t>
            </w:r>
            <w:r>
              <w:rPr>
                <w:rFonts w:ascii="Times New Roman" w:hAnsi="Times New Roman" w:cs="Times New Roman"/>
                <w:sz w:val="24"/>
                <w:szCs w:val="24"/>
              </w:rPr>
              <w:lastRenderedPageBreak/>
              <w:t>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lastRenderedPageBreak/>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проведених перевірок знань керівників галузевих підприємств та працівників, які забезпечують оперативно-технологічне управління і технічне обслуговування обладнання на об'єктах електроенергетики</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1542</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1542</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2795</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2795</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1253</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1253</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проведених перевірок знань працівників, відповідальних за теплове господарство, та працівників теплопостачальних організацій, які виконують роботи, пов'язані з експлуатацією теплоустановок споживачів</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1159</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859</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859</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Кількість перевірок готовності до роботи в осінньо-зимовий період, проходження грозового періоду та періоду підвищених температур, льодоходу, весняної повені суб'єктів електроенергетики та суб'єктів відносин у </w:t>
            </w:r>
            <w:r>
              <w:rPr>
                <w:rFonts w:ascii="Times New Roman" w:hAnsi="Times New Roman"/>
                <w:color w:val="000000"/>
                <w:sz w:val="24"/>
                <w:szCs w:val="24"/>
              </w:rPr>
              <w:lastRenderedPageBreak/>
              <w:t>сфері теплопостачання (в т.ч. електростанцій, електричних та теплових мереж, енергосистем)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603</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7733</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7733</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7130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7130</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проведених розслідувань причин і наслідків аварій і пожеж на обладнанні електричних мереж учасників ринку електричної енергії та суб'єктів відносин у сфері теплопостачання, у яких беруть участь працівники Держенергонагляду</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Збільшення показника 1 та 2 пояснюється тим, що вказану перевірку знань здійснюють комісії з перевірки знань утворені на цих підприємствах або в спеціалізованих учбових центрах. Представники Держенергонагляду приймають участь у роботі зазначених комісій за запрошенням. Протягом 2020 року до територіальних управлінь Держенергонагляду надійшла значно більша кількість запрошень щодо участі в роботі комісії з перевірки знань.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Держенергонагляд здійснював контроль за підготовкою об'єктів паливно-енергетичного комплексу до роботи в осінньо-зимовий період на виконання розпорядження Кабінету Міністрів України від 22.07.2020 № 916-р. Протягом 2020 року до територіальних управлінь Держенергонагляду надійшла значно більша кількість запрошень щодо участі у роботі комісій з перевірки готовності об'єктів енергетики до роботи в осінньо-зимовий період.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Територіальні управління Держенергонагляду, структурні підрозділи апарату Держенергонагляду приймають участь у роботі комісій з розслідування технологічних порушень відповідно до вимог "Інструкції про розслідування і облік технологічних порушень на об'єктах електроенергетики і в об'єднаній енергетичній системі" СОУ-Н МПЕ 40.1.08.551:2009. У зв'язку зі зменшенням технологічних порушень, які підлягають розслідуванню за участі Держенергонагляду, відповідна кількість розслідувань зменшилась.</w:t>
            </w:r>
          </w:p>
          <w:p>
            <w:pPr>
              <w:spacing w:after="0" w:line="240" w:lineRule="auto"/>
              <w:rPr>
                <w:rFonts w:ascii="Times New Roman" w:hAnsi="Times New Roman" w:cs="Times New Roman"/>
                <w:sz w:val="24"/>
                <w:szCs w:val="24"/>
              </w:rPr>
            </w:pP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24"/>
          <w:szCs w:val="24"/>
        </w:rPr>
        <w:t>В цілому аналізуючи стан виконання результативних показників за 2020 рік можливо зробити висновок про те, що Держенергонаглядом</w:t>
      </w:r>
      <w:r>
        <w:rPr>
          <w:rFonts w:ascii="Times New Roman" w:hAnsi="Times New Roman" w:cs="Times New Roman"/>
          <w:sz w:val="24"/>
          <w:szCs w:val="24"/>
        </w:rPr>
        <w:t xml:space="preserve"> досягнена мета програми та виконано</w:t>
      </w:r>
      <w:r>
        <w:rPr>
          <w:rFonts w:ascii="Times New Roman" w:hAnsi="Times New Roman"/>
          <w:color w:val="000000"/>
          <w:sz w:val="24"/>
          <w:szCs w:val="24"/>
        </w:rPr>
        <w:t xml:space="preserve"> заходи щодо забезпечення  в подальшому здійснення нагляду (контролю) за господарською діяльністю суб'єктів господарювання</w:t>
      </w:r>
      <w:r>
        <w:rPr>
          <w:rFonts w:ascii="Times New Roman" w:hAnsi="Times New Roman"/>
          <w:color w:val="000000"/>
          <w:sz w:val="19"/>
          <w:szCs w:val="24"/>
        </w:rPr>
        <w:t>.</w:t>
      </w:r>
    </w:p>
    <w:p>
      <w:pPr>
        <w:pStyle w:val="3"/>
        <w:spacing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lastRenderedPageBreak/>
              <w:t>3.16.</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2406010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0434</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Керівництво та управління у сфері ефективного використання енергетичних ресурсів</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Мета бюджетної програми </w:t>
            </w:r>
          </w:p>
          <w:p>
            <w:pPr>
              <w:spacing w:after="0" w:line="240" w:lineRule="auto"/>
              <w:rPr>
                <w:rFonts w:ascii="Times New Roman" w:hAnsi="Times New Roman"/>
                <w:color w:val="000000"/>
                <w:sz w:val="24"/>
                <w:szCs w:val="24"/>
              </w:rPr>
            </w:pPr>
            <w:r>
              <w:rPr>
                <w:rFonts w:ascii="Times New Roman" w:hAnsi="Times New Roman"/>
                <w:color w:val="000000"/>
                <w:sz w:val="24"/>
                <w:szCs w:val="24"/>
              </w:rPr>
              <w:t>Реалізація державної політики у сфері ефективного використання паливно-енергетичних ресурсів, енергозбереження, відновлюваних джерел енергії та альтернативних видів палива</w:t>
            </w:r>
          </w:p>
          <w:p>
            <w:pPr>
              <w:spacing w:after="0" w:line="240" w:lineRule="auto"/>
              <w:rPr>
                <w:rFonts w:ascii="Times New Roman" w:hAnsi="Times New Roman" w:cs="Times New Roman"/>
                <w:sz w:val="24"/>
                <w:szCs w:val="24"/>
              </w:rPr>
            </w:pP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rPr>
            </w:pPr>
            <w:r>
              <w:rPr>
                <w:rFonts w:ascii="Times New Roman" w:hAnsi="Times New Roman" w:cs="Times New Roman"/>
                <w:sz w:val="24"/>
              </w:rPr>
              <w:t>Завдання бюджетної програми</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olor w:val="000000"/>
                <w:sz w:val="24"/>
                <w:szCs w:val="24"/>
              </w:rPr>
              <w:t>Підготовка та розробка законодавчих та інших нормативно-правових актів, нормативних документів у сфері ефективного використання енергетичних ресурсів, енергозбереження; відновлюваних джерел енергії та альтернативних видів палива</w:t>
            </w:r>
            <w:r>
              <w:rPr>
                <w:rFonts w:ascii="Times New Roman" w:hAnsi="Times New Roman" w:cs="Times New Roman"/>
                <w:sz w:val="24"/>
                <w:szCs w:val="24"/>
              </w:rPr>
              <w:t> </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rPr>
              <w:t>2</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cs="Times New Roman"/>
                <w:sz w:val="24"/>
                <w:szCs w:val="24"/>
              </w:rPr>
            </w:pPr>
            <w:r>
              <w:rPr>
                <w:rFonts w:ascii="Times New Roman" w:hAnsi="Times New Roman"/>
                <w:color w:val="000000"/>
                <w:sz w:val="24"/>
                <w:szCs w:val="24"/>
              </w:rPr>
              <w:t>Здійснення інформаційної діяльності із популяризації економічних, екологічних і соціальних переваг ефективного використання паливно-енергетичних ресурсів, енергозбереження, відновлюваних джерел енергії та альтернативних видів палива</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62 000,7</w:t>
            </w:r>
          </w:p>
        </w:tc>
        <w:tc>
          <w:tcPr>
            <w:tcW w:w="3270" w:type="dxa"/>
            <w:vAlign w:val="center"/>
          </w:tcPr>
          <w:p>
            <w:pPr>
              <w:jc w:val="center"/>
              <w:rPr>
                <w:sz w:val="24"/>
                <w:szCs w:val="24"/>
              </w:rPr>
            </w:pPr>
            <w:r>
              <w:rPr>
                <w:sz w:val="24"/>
                <w:szCs w:val="24"/>
              </w:rPr>
              <w:t>60 860,0</w:t>
            </w:r>
          </w:p>
        </w:tc>
        <w:tc>
          <w:tcPr>
            <w:tcW w:w="2976" w:type="dxa"/>
          </w:tcPr>
          <w:p>
            <w:pPr>
              <w:jc w:val="center"/>
              <w:rPr>
                <w:sz w:val="24"/>
                <w:szCs w:val="24"/>
              </w:rPr>
            </w:pPr>
            <w:r>
              <w:rPr>
                <w:sz w:val="24"/>
                <w:szCs w:val="24"/>
              </w:rPr>
              <w:t>-1 140,7</w:t>
            </w:r>
          </w:p>
        </w:tc>
      </w:tr>
      <w:tr>
        <w:trPr>
          <w:trHeight w:val="397"/>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61 998,6</w:t>
            </w:r>
          </w:p>
        </w:tc>
        <w:tc>
          <w:tcPr>
            <w:tcW w:w="3270" w:type="dxa"/>
            <w:vAlign w:val="center"/>
          </w:tcPr>
          <w:p>
            <w:pPr>
              <w:jc w:val="center"/>
              <w:rPr>
                <w:sz w:val="24"/>
                <w:szCs w:val="24"/>
              </w:rPr>
            </w:pPr>
            <w:r>
              <w:rPr>
                <w:sz w:val="24"/>
                <w:szCs w:val="24"/>
              </w:rPr>
              <w:t>60 860,0</w:t>
            </w:r>
          </w:p>
        </w:tc>
        <w:tc>
          <w:tcPr>
            <w:tcW w:w="2976" w:type="dxa"/>
          </w:tcPr>
          <w:p>
            <w:pPr>
              <w:jc w:val="center"/>
              <w:rPr>
                <w:sz w:val="24"/>
                <w:szCs w:val="24"/>
              </w:rPr>
            </w:pPr>
            <w:r>
              <w:rPr>
                <w:sz w:val="24"/>
                <w:szCs w:val="24"/>
              </w:rPr>
              <w:t>-1 138,6</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2,1</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-2,1</w:t>
            </w:r>
          </w:p>
        </w:tc>
      </w:tr>
    </w:tbl>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розроблених проектів регуляторних актів</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виданих свідоцтв про належність палива до альтернативного</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Кількість енергетичних сертифікатів будівель, що включені до бази  даних та оприлюднених на офіційному сайті Держенергоефективності</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1494</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4661</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4661</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3167</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3167</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Збільшення кількості приватних домогосподарств, які установили сонячні електростанції та стали енергонезалежними у порівнянні із попереднім роком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Розбіжність між затвердженим і фактичним значенням показника 1 пояснюється тим, що Агентством підготовлено та розроблено більшу кількість регуляторних актів, ніж передбачено, оскільки деякі акти розроблялися на виконання доручення Уряду та з метою приведення у відповідність до вимог новоприйнятих нормативно-правових актів.</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Розбіжність між затвердженим і фактичним значенням показника 2 обумовлено збільшенням кількості виробників альтернативних видів палива та їх зверненням до Держенергоефективності для отримання відповідного свідоцтва.</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Збільшення кількості включених до бази даних енергетичних сертифікатів у 2020 році у порівнянні з 2019 роком пов'язане зі збільшенням кількості енергоаудиторів та обов'язковістю проведення сертифікації будівель, зокрема згідно ст.7 п.1 Закону України "Про енергетичну ефективність будівель", сертифікація енергетичної ефективності є обов'язковою для:</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об'єктів будівництва (нового будівництва, реконструкції, капітального ремонту), що за класом наслідків (відповідальності) належать до об'єктів із середніми (СС2) та значними (СС3) наслідками, що визначаються відповідно до Закону України "Про регулювання містобудівної діяльності";</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будівель державної власності з опалюваною площею понад 250 квадратних метрів, які часто відвідують громадяни і у всіх приміщеннях яких розташовані органи державної влади;</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 будівель з опалюваною площею понад 250 квадратних метрів, у всіх приміщеннях яких розташовані органи місцевого самоврядування (у разі здійснення ними термомодернізації таких будівель);</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будівель, в яких здійснюється термомодернізація, на яку надається державна підтримка та яка має наслідком досягнення класу енергетичної ефективності будівлі не нижче мінімальних вимог до енергетичної ефективності будівлі.</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Відхилення показника 4 пояснюється зменшенням кількості введених сонячних електростанцій приватними домогосподарствами у порівнянні з прогнозованим значенням на 2020 рік.</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rPr>
                <w:rFonts w:ascii="Times New Roman" w:hAnsi="Times New Roman" w:cs="Times New Roman"/>
                <w:sz w:val="24"/>
                <w:szCs w:val="24"/>
              </w:rPr>
            </w:pPr>
          </w:p>
        </w:tc>
      </w:tr>
    </w:tbl>
    <w:p>
      <w:pPr>
        <w:pStyle w:val="3"/>
        <w:spacing w:before="120" w:after="0" w:line="240" w:lineRule="auto"/>
        <w:rPr>
          <w:rFonts w:ascii="Times New Roman" w:hAnsi="Times New Roman" w:cs="Times New Roman"/>
          <w:b/>
          <w:sz w:val="24"/>
          <w:szCs w:val="24"/>
        </w:rPr>
      </w:pPr>
    </w:p>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pStyle w:val="3"/>
        <w:spacing w:before="120" w:after="0" w:line="240" w:lineRule="auto"/>
        <w:rPr>
          <w:rFonts w:ascii="Times New Roman" w:hAnsi="Times New Roman" w:cs="Times New Roman"/>
          <w:sz w:val="24"/>
          <w:szCs w:val="24"/>
        </w:rPr>
      </w:pPr>
      <w:r>
        <w:rPr>
          <w:rFonts w:ascii="Times New Roman" w:hAnsi="Times New Roman" w:cs="Times New Roman"/>
          <w:sz w:val="24"/>
          <w:szCs w:val="24"/>
        </w:rPr>
        <w:t>У 2020 році за результатами аналізу виконання результативних показників за бюджетною програмою КПКВК 2406010 «</w:t>
      </w:r>
      <w:r>
        <w:rPr>
          <w:rFonts w:ascii="Times New Roman" w:hAnsi="Times New Roman"/>
          <w:color w:val="000000"/>
          <w:sz w:val="24"/>
          <w:szCs w:val="24"/>
        </w:rPr>
        <w:t>Керівництво та управління у сфері ефективного використання енергетичних ресурсів</w:t>
      </w:r>
      <w:r>
        <w:rPr>
          <w:rFonts w:ascii="Times New Roman" w:hAnsi="Times New Roman" w:cs="Times New Roman"/>
          <w:sz w:val="24"/>
          <w:szCs w:val="24"/>
        </w:rPr>
        <w:t>» досягнення мети та виконання завдань забезпечено.</w:t>
      </w:r>
    </w:p>
    <w:p>
      <w:pPr>
        <w:pStyle w:val="3"/>
        <w:spacing w:after="0" w:line="240" w:lineRule="auto"/>
        <w:jc w:val="both"/>
        <w:rPr>
          <w:rFonts w:ascii="Times New Roman" w:hAnsi="Times New Roman" w:cs="Times New Roman"/>
          <w:b/>
          <w:sz w:val="24"/>
          <w:szCs w:val="24"/>
        </w:rPr>
      </w:pPr>
    </w:p>
    <w:tbl>
      <w:tblPr>
        <w:tblW w:w="15389" w:type="dxa"/>
        <w:tblLayout w:type="fixed"/>
        <w:tblLook w:val="04A0" w:firstRow="1" w:lastRow="0" w:firstColumn="1" w:lastColumn="0" w:noHBand="0" w:noVBand="1"/>
      </w:tblPr>
      <w:tblGrid>
        <w:gridCol w:w="851"/>
        <w:gridCol w:w="142"/>
        <w:gridCol w:w="1949"/>
        <w:gridCol w:w="1403"/>
        <w:gridCol w:w="11023"/>
        <w:gridCol w:w="21"/>
      </w:tblGrid>
      <w:tr>
        <w:trPr>
          <w:trHeight w:val="765"/>
        </w:trPr>
        <w:tc>
          <w:tcPr>
            <w:tcW w:w="993" w:type="dxa"/>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ind w:right="-12"/>
              <w:jc w:val="center"/>
              <w:rPr>
                <w:rFonts w:ascii="Times New Roman" w:hAnsi="Times New Roman" w:cs="Times New Roman"/>
                <w:b/>
                <w:sz w:val="24"/>
                <w:szCs w:val="24"/>
              </w:rPr>
            </w:pPr>
            <w:r>
              <w:rPr>
                <w:rFonts w:ascii="Times New Roman" w:hAnsi="Times New Roman" w:cs="Times New Roman"/>
                <w:b/>
                <w:sz w:val="24"/>
                <w:szCs w:val="24"/>
              </w:rPr>
              <w:t>3.17.</w:t>
            </w:r>
          </w:p>
        </w:tc>
        <w:tc>
          <w:tcPr>
            <w:tcW w:w="1949"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2406060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(КПКВК ДБ)</w:t>
            </w:r>
          </w:p>
        </w:tc>
        <w:tc>
          <w:tcPr>
            <w:tcW w:w="1403" w:type="dxa"/>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0470</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(КФКВК)</w:t>
            </w:r>
          </w:p>
        </w:tc>
        <w:tc>
          <w:tcPr>
            <w:tcW w:w="11044" w:type="dxa"/>
            <w:gridSpan w:val="2"/>
            <w:tcBorders>
              <w:top w:val="single" w:sz="4" w:space="0" w:color="auto"/>
              <w:left w:val="single" w:sz="4" w:space="0" w:color="auto"/>
              <w:bottom w:val="single" w:sz="4" w:space="0" w:color="auto"/>
              <w:right w:val="single" w:sz="4" w:space="0" w:color="auto"/>
            </w:tcBorders>
            <w:vAlign w:val="center"/>
            <w:hideMark/>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Реалізація Державної цільової економічної програми енергоефективності</w:t>
            </w:r>
          </w:p>
        </w:tc>
      </w:tr>
      <w:tr>
        <w:tblPrEx>
          <w:tblLook w:val="0000" w:firstRow="0" w:lastRow="0" w:firstColumn="0" w:lastColumn="0" w:noHBand="0" w:noVBand="0"/>
        </w:tblPrEx>
        <w:trPr>
          <w:gridAfter w:val="1"/>
          <w:wAfter w:w="21" w:type="dxa"/>
          <w:trHeight w:val="778"/>
        </w:trPr>
        <w:tc>
          <w:tcPr>
            <w:tcW w:w="15368" w:type="dxa"/>
            <w:gridSpan w:val="5"/>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 xml:space="preserve">Мета бюджетної програми </w:t>
            </w:r>
          </w:p>
          <w:p>
            <w:pPr>
              <w:spacing w:after="0" w:line="240" w:lineRule="auto"/>
              <w:rPr>
                <w:rFonts w:ascii="Times New Roman" w:hAnsi="Times New Roman" w:cs="Times New Roman"/>
                <w:sz w:val="24"/>
                <w:szCs w:val="24"/>
              </w:rPr>
            </w:pPr>
            <w:r>
              <w:rPr>
                <w:rFonts w:ascii="Times New Roman" w:hAnsi="Times New Roman"/>
                <w:color w:val="000000"/>
                <w:sz w:val="24"/>
                <w:szCs w:val="24"/>
              </w:rPr>
              <w:t>Стимулювання населення та ОСББ (ЖБК) до впровадження заходів з енергозбереження</w:t>
            </w:r>
          </w:p>
        </w:tc>
      </w:tr>
      <w:tr>
        <w:tblPrEx>
          <w:tblLook w:val="0000" w:firstRow="0" w:lastRow="0" w:firstColumn="0" w:lastColumn="0" w:noHBand="0" w:noVBand="0"/>
        </w:tblPrEx>
        <w:trPr>
          <w:gridAfter w:val="1"/>
          <w:wAfter w:w="21" w:type="dxa"/>
          <w:trHeight w:val="469"/>
        </w:trPr>
        <w:tc>
          <w:tcPr>
            <w:tcW w:w="15368" w:type="dxa"/>
            <w:gridSpan w:val="5"/>
            <w:tcBorders>
              <w:bottom w:val="single" w:sz="4" w:space="0" w:color="auto"/>
            </w:tcBorders>
          </w:tcPr>
          <w:p>
            <w:pPr>
              <w:spacing w:after="0" w:line="240" w:lineRule="auto"/>
              <w:rPr>
                <w:rFonts w:ascii="Times New Roman" w:hAnsi="Times New Roman" w:cs="Times New Roman"/>
                <w:sz w:val="24"/>
              </w:rPr>
            </w:pPr>
          </w:p>
          <w:p>
            <w:pPr>
              <w:spacing w:after="0" w:line="240" w:lineRule="auto"/>
              <w:rPr>
                <w:rFonts w:ascii="Times New Roman" w:hAnsi="Times New Roman" w:cs="Times New Roman"/>
                <w:sz w:val="24"/>
              </w:rPr>
            </w:pPr>
            <w:r>
              <w:rPr>
                <w:rFonts w:ascii="Times New Roman" w:hAnsi="Times New Roman" w:cs="Times New Roman"/>
                <w:sz w:val="24"/>
              </w:rPr>
              <w:t>Завдання бюджетної програми</w:t>
            </w:r>
          </w:p>
          <w:p>
            <w:pPr>
              <w:spacing w:after="0" w:line="240" w:lineRule="auto"/>
              <w:rPr>
                <w:rFonts w:ascii="Times New Roman" w:hAnsi="Times New Roman" w:cs="Times New Roman"/>
              </w:rPr>
            </w:pP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 xml:space="preserve"> № з/п</w:t>
            </w:r>
          </w:p>
        </w:tc>
        <w:tc>
          <w:tcPr>
            <w:tcW w:w="14517" w:type="dxa"/>
            <w:gridSpan w:val="4"/>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Завдання</w:t>
            </w:r>
          </w:p>
        </w:tc>
      </w:tr>
      <w:tr>
        <w:tblPrEx>
          <w:tblLook w:val="0000" w:firstRow="0" w:lastRow="0" w:firstColumn="0" w:lastColumn="0" w:noHBand="0" w:noVBand="0"/>
        </w:tblPrEx>
        <w:trPr>
          <w:gridAfter w:val="1"/>
          <w:wAfter w:w="21" w:type="dxa"/>
          <w:trHeight w:val="397"/>
        </w:trPr>
        <w:tc>
          <w:tcPr>
            <w:tcW w:w="851" w:type="dxa"/>
            <w:tcBorders>
              <w:top w:val="single" w:sz="4" w:space="0" w:color="auto"/>
              <w:left w:val="single" w:sz="4" w:space="0" w:color="auto"/>
              <w:bottom w:val="single" w:sz="4" w:space="0" w:color="auto"/>
              <w:right w:val="single" w:sz="4" w:space="0" w:color="auto"/>
            </w:tcBorders>
          </w:tcPr>
          <w:p>
            <w:pPr>
              <w:spacing w:after="0" w:line="240" w:lineRule="auto"/>
              <w:jc w:val="center"/>
              <w:rPr>
                <w:rFonts w:ascii="Times New Roman" w:hAnsi="Times New Roman" w:cs="Times New Roman"/>
              </w:rPr>
            </w:pPr>
            <w:r>
              <w:rPr>
                <w:rFonts w:ascii="Times New Roman" w:hAnsi="Times New Roman" w:cs="Times New Roman"/>
                <w:sz w:val="24"/>
              </w:rPr>
              <w:t>1</w:t>
            </w:r>
          </w:p>
        </w:tc>
        <w:tc>
          <w:tcPr>
            <w:tcW w:w="14517" w:type="dxa"/>
            <w:gridSpan w:val="4"/>
            <w:tcBorders>
              <w:top w:val="single" w:sz="4" w:space="0" w:color="auto"/>
              <w:left w:val="single" w:sz="4" w:space="0" w:color="auto"/>
              <w:bottom w:val="single" w:sz="4" w:space="0" w:color="auto"/>
              <w:right w:val="single" w:sz="4" w:space="0" w:color="auto"/>
            </w:tcBorders>
          </w:tcPr>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Надання державної підтримки населенню до впровадження енергоефективних заходів, впровадження сучасних енергоефективних технологій</w:t>
            </w:r>
            <w:r>
              <w:rPr>
                <w:rFonts w:ascii="Times New Roman" w:hAnsi="Times New Roman" w:cs="Times New Roman"/>
                <w:sz w:val="24"/>
                <w:szCs w:val="24"/>
              </w:rPr>
              <w:t> </w:t>
            </w:r>
          </w:p>
        </w:tc>
      </w:tr>
    </w:tbl>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p>
    <w:p>
      <w:pPr>
        <w:pStyle w:val="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Видатки / надання кредитів у 2020 році</w:t>
      </w:r>
    </w:p>
    <w:p>
      <w:pPr>
        <w:pStyle w:val="3"/>
        <w:tabs>
          <w:tab w:val="left" w:pos="13608"/>
          <w:tab w:val="left" w:pos="14459"/>
        </w:tabs>
        <w:spacing w:after="0" w:line="240" w:lineRule="auto"/>
        <w:ind w:right="677"/>
        <w:jc w:val="right"/>
        <w:rPr>
          <w:rFonts w:ascii="Times New Roman" w:hAnsi="Times New Roman" w:cs="Times New Roman"/>
          <w:b/>
          <w:sz w:val="24"/>
          <w:szCs w:val="24"/>
        </w:rPr>
      </w:pPr>
      <w:r>
        <w:rPr>
          <w:rFonts w:ascii="Times New Roman" w:hAnsi="Times New Roman" w:cs="Times New Roman"/>
          <w:sz w:val="24"/>
          <w:szCs w:val="24"/>
        </w:rPr>
        <w:t>тис.</w:t>
      </w:r>
      <w:r>
        <w:rPr>
          <w:rFonts w:ascii="Times New Roman" w:hAnsi="Times New Roman" w:cs="Times New Roman"/>
          <w:sz w:val="24"/>
          <w:szCs w:val="24"/>
          <w:lang w:val="ru-RU"/>
        </w:rPr>
        <w:t xml:space="preserve"> </w:t>
      </w:r>
      <w:r>
        <w:rPr>
          <w:rFonts w:ascii="Times New Roman" w:hAnsi="Times New Roman" w:cs="Times New Roman"/>
          <w:sz w:val="24"/>
          <w:szCs w:val="24"/>
        </w:rPr>
        <w:t>грн</w:t>
      </w:r>
    </w:p>
    <w:tbl>
      <w:tblPr>
        <w:tblStyle w:val="a4"/>
        <w:tblW w:w="15446" w:type="dxa"/>
        <w:jc w:val="center"/>
        <w:tblLayout w:type="fixed"/>
        <w:tblLook w:val="04A0" w:firstRow="1" w:lastRow="0" w:firstColumn="1" w:lastColumn="0" w:noHBand="0" w:noVBand="1"/>
      </w:tblPr>
      <w:tblGrid>
        <w:gridCol w:w="5931"/>
        <w:gridCol w:w="3269"/>
        <w:gridCol w:w="3270"/>
        <w:gridCol w:w="2976"/>
      </w:tblGrid>
      <w:tr>
        <w:trPr>
          <w:trHeight w:val="377"/>
          <w:jc w:val="center"/>
        </w:trPr>
        <w:tc>
          <w:tcPr>
            <w:tcW w:w="5931" w:type="dxa"/>
          </w:tcPr>
          <w:p>
            <w:pPr>
              <w:jc w:val="center"/>
              <w:rPr>
                <w:sz w:val="24"/>
                <w:szCs w:val="24"/>
              </w:rPr>
            </w:pPr>
          </w:p>
        </w:tc>
        <w:tc>
          <w:tcPr>
            <w:tcW w:w="3269" w:type="dxa"/>
          </w:tcPr>
          <w:p>
            <w:pPr>
              <w:jc w:val="center"/>
              <w:rPr>
                <w:sz w:val="24"/>
                <w:szCs w:val="24"/>
              </w:rPr>
            </w:pPr>
            <w:r>
              <w:rPr>
                <w:sz w:val="24"/>
                <w:szCs w:val="24"/>
              </w:rPr>
              <w:t>План</w:t>
            </w:r>
          </w:p>
          <w:p>
            <w:pPr>
              <w:jc w:val="center"/>
              <w:rPr>
                <w:sz w:val="24"/>
                <w:szCs w:val="24"/>
              </w:rPr>
            </w:pPr>
            <w:r>
              <w:rPr>
                <w:sz w:val="24"/>
                <w:szCs w:val="24"/>
              </w:rPr>
              <w:t>зі змінами</w:t>
            </w:r>
          </w:p>
        </w:tc>
        <w:tc>
          <w:tcPr>
            <w:tcW w:w="3270" w:type="dxa"/>
            <w:vAlign w:val="center"/>
          </w:tcPr>
          <w:p>
            <w:pPr>
              <w:jc w:val="center"/>
              <w:rPr>
                <w:sz w:val="24"/>
                <w:szCs w:val="24"/>
              </w:rPr>
            </w:pPr>
            <w:r>
              <w:rPr>
                <w:sz w:val="24"/>
                <w:szCs w:val="24"/>
              </w:rPr>
              <w:t>Звіт</w:t>
            </w:r>
          </w:p>
          <w:p>
            <w:pPr>
              <w:jc w:val="center"/>
              <w:rPr>
                <w:sz w:val="24"/>
                <w:szCs w:val="24"/>
              </w:rPr>
            </w:pPr>
          </w:p>
        </w:tc>
        <w:tc>
          <w:tcPr>
            <w:tcW w:w="2976" w:type="dxa"/>
          </w:tcPr>
          <w:p>
            <w:pPr>
              <w:jc w:val="center"/>
              <w:rPr>
                <w:sz w:val="24"/>
                <w:szCs w:val="24"/>
              </w:rPr>
            </w:pPr>
            <w:r>
              <w:rPr>
                <w:sz w:val="24"/>
                <w:szCs w:val="24"/>
              </w:rPr>
              <w:t>Відхилення</w:t>
            </w:r>
          </w:p>
          <w:p>
            <w:pPr>
              <w:jc w:val="center"/>
              <w:rPr>
                <w:sz w:val="24"/>
                <w:szCs w:val="24"/>
              </w:rPr>
            </w:pPr>
            <w:r>
              <w:rPr>
                <w:sz w:val="24"/>
                <w:szCs w:val="24"/>
              </w:rPr>
              <w:t>звітних показників від планових</w:t>
            </w:r>
          </w:p>
        </w:tc>
      </w:tr>
      <w:tr>
        <w:trPr>
          <w:trHeight w:val="284"/>
          <w:jc w:val="center"/>
        </w:trPr>
        <w:tc>
          <w:tcPr>
            <w:tcW w:w="5931" w:type="dxa"/>
            <w:vAlign w:val="center"/>
          </w:tcPr>
          <w:p>
            <w:pPr>
              <w:jc w:val="center"/>
            </w:pPr>
            <w:r>
              <w:t>1</w:t>
            </w:r>
          </w:p>
        </w:tc>
        <w:tc>
          <w:tcPr>
            <w:tcW w:w="3269" w:type="dxa"/>
            <w:vAlign w:val="center"/>
          </w:tcPr>
          <w:p>
            <w:pPr>
              <w:jc w:val="center"/>
            </w:pPr>
            <w:r>
              <w:t>2</w:t>
            </w:r>
          </w:p>
        </w:tc>
        <w:tc>
          <w:tcPr>
            <w:tcW w:w="3270" w:type="dxa"/>
            <w:vAlign w:val="center"/>
          </w:tcPr>
          <w:p>
            <w:pPr>
              <w:jc w:val="center"/>
            </w:pPr>
            <w:r>
              <w:t>3</w:t>
            </w:r>
          </w:p>
        </w:tc>
        <w:tc>
          <w:tcPr>
            <w:tcW w:w="2976" w:type="dxa"/>
            <w:vAlign w:val="center"/>
          </w:tcPr>
          <w:p>
            <w:pPr>
              <w:jc w:val="center"/>
            </w:pPr>
            <w:r>
              <w:t>4</w:t>
            </w:r>
          </w:p>
        </w:tc>
      </w:tr>
      <w:tr>
        <w:trPr>
          <w:trHeight w:val="397"/>
          <w:jc w:val="center"/>
        </w:trPr>
        <w:tc>
          <w:tcPr>
            <w:tcW w:w="5931" w:type="dxa"/>
          </w:tcPr>
          <w:p>
            <w:pPr>
              <w:rPr>
                <w:b/>
                <w:sz w:val="24"/>
                <w:szCs w:val="24"/>
              </w:rPr>
            </w:pPr>
            <w:r>
              <w:rPr>
                <w:b/>
                <w:sz w:val="24"/>
                <w:szCs w:val="24"/>
              </w:rPr>
              <w:t>Всього</w:t>
            </w:r>
          </w:p>
        </w:tc>
        <w:tc>
          <w:tcPr>
            <w:tcW w:w="3269" w:type="dxa"/>
          </w:tcPr>
          <w:p>
            <w:pPr>
              <w:jc w:val="center"/>
              <w:rPr>
                <w:sz w:val="24"/>
                <w:szCs w:val="24"/>
              </w:rPr>
            </w:pPr>
            <w:r>
              <w:rPr>
                <w:sz w:val="24"/>
                <w:szCs w:val="24"/>
              </w:rPr>
              <w:t>400 000,0</w:t>
            </w:r>
          </w:p>
        </w:tc>
        <w:tc>
          <w:tcPr>
            <w:tcW w:w="3270" w:type="dxa"/>
            <w:vAlign w:val="center"/>
          </w:tcPr>
          <w:p>
            <w:pPr>
              <w:jc w:val="center"/>
              <w:rPr>
                <w:sz w:val="24"/>
                <w:szCs w:val="24"/>
              </w:rPr>
            </w:pPr>
            <w:r>
              <w:rPr>
                <w:sz w:val="24"/>
                <w:szCs w:val="24"/>
              </w:rPr>
              <w:t>383 663,1</w:t>
            </w:r>
          </w:p>
        </w:tc>
        <w:tc>
          <w:tcPr>
            <w:tcW w:w="2976" w:type="dxa"/>
          </w:tcPr>
          <w:p>
            <w:pPr>
              <w:jc w:val="center"/>
              <w:rPr>
                <w:sz w:val="24"/>
                <w:szCs w:val="24"/>
              </w:rPr>
            </w:pPr>
            <w:r>
              <w:rPr>
                <w:sz w:val="24"/>
                <w:szCs w:val="24"/>
              </w:rPr>
              <w:t>-16 336,9</w:t>
            </w:r>
          </w:p>
        </w:tc>
      </w:tr>
      <w:tr>
        <w:trPr>
          <w:trHeight w:val="543"/>
          <w:jc w:val="center"/>
        </w:trPr>
        <w:tc>
          <w:tcPr>
            <w:tcW w:w="5931" w:type="dxa"/>
            <w:vAlign w:val="center"/>
          </w:tcPr>
          <w:p>
            <w:pPr>
              <w:rPr>
                <w:sz w:val="24"/>
                <w:szCs w:val="24"/>
              </w:rPr>
            </w:pPr>
            <w:r>
              <w:rPr>
                <w:sz w:val="24"/>
                <w:szCs w:val="24"/>
              </w:rPr>
              <w:t>у т. ч. загальний фонд</w:t>
            </w:r>
          </w:p>
        </w:tc>
        <w:tc>
          <w:tcPr>
            <w:tcW w:w="3269" w:type="dxa"/>
            <w:vAlign w:val="center"/>
          </w:tcPr>
          <w:p>
            <w:pPr>
              <w:jc w:val="center"/>
              <w:rPr>
                <w:sz w:val="24"/>
                <w:szCs w:val="24"/>
              </w:rPr>
            </w:pPr>
            <w:r>
              <w:rPr>
                <w:sz w:val="24"/>
                <w:szCs w:val="24"/>
              </w:rPr>
              <w:t>400 000,0</w:t>
            </w:r>
          </w:p>
        </w:tc>
        <w:tc>
          <w:tcPr>
            <w:tcW w:w="3270" w:type="dxa"/>
            <w:vAlign w:val="center"/>
          </w:tcPr>
          <w:p>
            <w:pPr>
              <w:jc w:val="center"/>
              <w:rPr>
                <w:sz w:val="24"/>
                <w:szCs w:val="24"/>
              </w:rPr>
            </w:pPr>
            <w:r>
              <w:rPr>
                <w:sz w:val="24"/>
                <w:szCs w:val="24"/>
              </w:rPr>
              <w:t>383 663,1</w:t>
            </w:r>
          </w:p>
        </w:tc>
        <w:tc>
          <w:tcPr>
            <w:tcW w:w="2976" w:type="dxa"/>
          </w:tcPr>
          <w:p>
            <w:pPr>
              <w:jc w:val="center"/>
              <w:rPr>
                <w:sz w:val="24"/>
                <w:szCs w:val="24"/>
              </w:rPr>
            </w:pPr>
            <w:r>
              <w:rPr>
                <w:sz w:val="24"/>
                <w:szCs w:val="24"/>
              </w:rPr>
              <w:t>-16 336,9</w:t>
            </w:r>
          </w:p>
        </w:tc>
      </w:tr>
      <w:tr>
        <w:trPr>
          <w:trHeight w:val="397"/>
          <w:jc w:val="center"/>
        </w:trPr>
        <w:tc>
          <w:tcPr>
            <w:tcW w:w="5931" w:type="dxa"/>
            <w:vAlign w:val="center"/>
          </w:tcPr>
          <w:p>
            <w:pPr>
              <w:rPr>
                <w:sz w:val="24"/>
                <w:szCs w:val="24"/>
                <w:lang w:val="en-US"/>
              </w:rPr>
            </w:pPr>
            <w:r>
              <w:rPr>
                <w:sz w:val="24"/>
                <w:szCs w:val="24"/>
              </w:rPr>
              <w:t xml:space="preserve">          спеціальний фонд</w:t>
            </w:r>
          </w:p>
        </w:tc>
        <w:tc>
          <w:tcPr>
            <w:tcW w:w="3269" w:type="dxa"/>
            <w:vAlign w:val="center"/>
          </w:tcPr>
          <w:p>
            <w:pPr>
              <w:jc w:val="center"/>
              <w:rPr>
                <w:sz w:val="24"/>
                <w:szCs w:val="24"/>
              </w:rPr>
            </w:pPr>
            <w:r>
              <w:rPr>
                <w:sz w:val="24"/>
                <w:szCs w:val="24"/>
              </w:rPr>
              <w:t>0</w:t>
            </w:r>
          </w:p>
        </w:tc>
        <w:tc>
          <w:tcPr>
            <w:tcW w:w="3270" w:type="dxa"/>
            <w:vAlign w:val="center"/>
          </w:tcPr>
          <w:p>
            <w:pPr>
              <w:jc w:val="center"/>
              <w:rPr>
                <w:sz w:val="24"/>
                <w:szCs w:val="24"/>
              </w:rPr>
            </w:pPr>
            <w:r>
              <w:rPr>
                <w:sz w:val="24"/>
                <w:szCs w:val="24"/>
              </w:rPr>
              <w:t>0</w:t>
            </w:r>
          </w:p>
        </w:tc>
        <w:tc>
          <w:tcPr>
            <w:tcW w:w="2976" w:type="dxa"/>
          </w:tcPr>
          <w:p>
            <w:pPr>
              <w:jc w:val="center"/>
              <w:rPr>
                <w:sz w:val="24"/>
                <w:szCs w:val="24"/>
              </w:rPr>
            </w:pPr>
            <w:r>
              <w:rPr>
                <w:sz w:val="24"/>
                <w:szCs w:val="24"/>
              </w:rPr>
              <w:t>0</w:t>
            </w:r>
          </w:p>
        </w:tc>
      </w:tr>
    </w:tbl>
    <w:p>
      <w:pPr>
        <w:pStyle w:val="3"/>
        <w:spacing w:before="240" w:after="0" w:line="240" w:lineRule="auto"/>
        <w:jc w:val="both"/>
        <w:rPr>
          <w:rFonts w:ascii="Times New Roman" w:hAnsi="Times New Roman" w:cs="Times New Roman"/>
          <w:b/>
          <w:sz w:val="24"/>
          <w:szCs w:val="24"/>
        </w:rPr>
      </w:pPr>
    </w:p>
    <w:p>
      <w:pPr>
        <w:pStyle w:val="3"/>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Ключові результативні показники бюджетної програми </w:t>
      </w:r>
    </w:p>
    <w:p>
      <w:pPr>
        <w:pStyle w:val="3"/>
        <w:spacing w:after="0" w:line="240" w:lineRule="auto"/>
        <w:jc w:val="both"/>
        <w:rPr>
          <w:rFonts w:ascii="Times New Roman" w:hAnsi="Times New Roman" w:cs="Times New Roman"/>
          <w:b/>
          <w:sz w:val="24"/>
          <w:szCs w:val="24"/>
        </w:rPr>
      </w:pPr>
    </w:p>
    <w:tbl>
      <w:tblPr>
        <w:tblW w:w="15389" w:type="dxa"/>
        <w:tblInd w:w="-5" w:type="dxa"/>
        <w:tblLayout w:type="fixed"/>
        <w:tblLook w:val="0000" w:firstRow="0" w:lastRow="0" w:firstColumn="0" w:lastColumn="0" w:noHBand="0" w:noVBand="0"/>
      </w:tblPr>
      <w:tblGrid>
        <w:gridCol w:w="683"/>
        <w:gridCol w:w="2596"/>
        <w:gridCol w:w="1282"/>
        <w:gridCol w:w="1283"/>
        <w:gridCol w:w="1425"/>
        <w:gridCol w:w="997"/>
        <w:gridCol w:w="1283"/>
        <w:gridCol w:w="1424"/>
        <w:gridCol w:w="855"/>
        <w:gridCol w:w="1282"/>
        <w:gridCol w:w="1425"/>
        <w:gridCol w:w="854"/>
      </w:tblGrid>
      <w:tr>
        <w:tc>
          <w:tcPr>
            <w:tcW w:w="683"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з/п</w:t>
            </w:r>
          </w:p>
        </w:tc>
        <w:tc>
          <w:tcPr>
            <w:tcW w:w="2596"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Показники</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Одиниця виміру</w:t>
            </w:r>
          </w:p>
        </w:tc>
        <w:tc>
          <w:tcPr>
            <w:tcW w:w="3705"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Планові результативні показники</w:t>
            </w:r>
          </w:p>
        </w:tc>
        <w:tc>
          <w:tcPr>
            <w:tcW w:w="3562"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Фактичні результативні показники</w:t>
            </w:r>
          </w:p>
        </w:tc>
        <w:tc>
          <w:tcPr>
            <w:tcW w:w="3561" w:type="dxa"/>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Відхилення фактичних від планових</w:t>
            </w:r>
          </w:p>
        </w:tc>
      </w:tr>
      <w:tr>
        <w:tc>
          <w:tcPr>
            <w:tcW w:w="683"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2596"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загальний фонд</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спеціальний фонд</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40" w:right="-108"/>
              <w:jc w:val="center"/>
              <w:rPr>
                <w:rFonts w:ascii="Times New Roman" w:hAnsi="Times New Roman" w:cs="Times New Roman"/>
                <w:sz w:val="24"/>
                <w:szCs w:val="24"/>
              </w:rPr>
            </w:pPr>
            <w:r>
              <w:rPr>
                <w:rFonts w:ascii="Times New Roman" w:hAnsi="Times New Roman" w:cs="Times New Roman"/>
                <w:sz w:val="24"/>
                <w:szCs w:val="24"/>
              </w:rPr>
              <w:t>разом</w:t>
            </w:r>
          </w:p>
        </w:tc>
      </w:tr>
      <w:tr>
        <w:trPr>
          <w:trHeight w:val="284"/>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96" w:type="dxa"/>
            <w:tcBorders>
              <w:top w:val="single" w:sz="4" w:space="0" w:color="auto"/>
              <w:left w:val="single" w:sz="4" w:space="0" w:color="auto"/>
              <w:bottom w:val="single" w:sz="4" w:space="0" w:color="auto"/>
              <w:right w:val="single" w:sz="4" w:space="0" w:color="auto"/>
            </w:tcBorders>
            <w:vAlign w:val="center"/>
          </w:tcPr>
          <w:p>
            <w:pPr>
              <w:spacing w:after="0" w:line="240" w:lineRule="auto"/>
              <w:rPr>
                <w:rFonts w:ascii="Times New Roman" w:hAnsi="Times New Roman" w:cs="Times New Roman"/>
                <w:sz w:val="24"/>
                <w:szCs w:val="24"/>
              </w:rPr>
            </w:pPr>
            <w:r>
              <w:rPr>
                <w:rFonts w:ascii="Times New Roman" w:hAnsi="Times New Roman"/>
                <w:color w:val="000000"/>
                <w:sz w:val="24"/>
                <w:szCs w:val="24"/>
              </w:rPr>
              <w:t>Економія природного газу в середньому однією особою за рахунок придбання котлів з використання будь-яких видів палива та енергії (крім природного газу та електроенергії)</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Економія природного газу в середньому однією особою за рахунок придбання енергоефективного обладнання та/або матеріалів</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24,8</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Економія природного газу в середньому одним об'єднанням співвласників багатоквартирних будинків, житлово-будівельним кооперативом за рахунок впровадження енергоефективних заходів</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6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6" w:type="dxa"/>
            <w:tcBorders>
              <w:top w:val="single" w:sz="4" w:space="0" w:color="auto"/>
              <w:left w:val="single" w:sz="4" w:space="0" w:color="auto"/>
              <w:bottom w:val="single" w:sz="4" w:space="0" w:color="auto"/>
              <w:right w:val="single" w:sz="4" w:space="0" w:color="auto"/>
            </w:tcBorders>
            <w:vAlign w:val="center"/>
          </w:tcPr>
          <w:p>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Рівень задоволення позичальників від участі у Державній цільовій економічній програмі енергоефективності і </w:t>
            </w:r>
            <w:r>
              <w:rPr>
                <w:rFonts w:ascii="Times New Roman" w:hAnsi="Times New Roman"/>
                <w:color w:val="000000"/>
                <w:sz w:val="24"/>
                <w:szCs w:val="24"/>
              </w:rPr>
              <w:lastRenderedPageBreak/>
              <w:t>розвитку сфери виробництва енергоносіїв з відновлюваних джерел енергії та альтернативних видів палива на 2010-2020 роки</w:t>
            </w: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відс.</w:t>
            </w: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3"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98,5</w:t>
            </w:r>
          </w:p>
        </w:tc>
        <w:tc>
          <w:tcPr>
            <w:tcW w:w="142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25"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p>
        </w:tc>
      </w:tr>
      <w:tr>
        <w:trPr>
          <w:trHeight w:val="397"/>
        </w:trPr>
        <w:tc>
          <w:tcPr>
            <w:tcW w:w="15389" w:type="dxa"/>
            <w:gridSpan w:val="1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Пояснення щодо причин відхилення фактичних результативних показників від планових </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Збільшення показника економії природного газу в середньому однією особою за рахунок придбання котлів з використання будь-яких видів палива та енергії (крім природного газу та електроенергії), а також одним об'єднанням співвласників багатоквартирних будинків, житлово-будівельним кооперативом за рахунок впровадження енергоефективних заходів пояснюється збільшенням випадків повної відмови від використання природного газу для опалення та здійсненням частиною позичальників комплексних (2 і більше) заходів.</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 результатами  вибіркового опитування позичальників встановлено відхилення показника економії природного газу в середньому однією особою за рахунок придбання енергоефективного обладнання та/або матеріалів, що свідчить про менший відсоток фактичної економії природного газу порівняно з плановим показником, який, в свою чергу, розраховувався згідно даних здійсненого у 2018 р. обстеження учасників Програми в рамках оцінки ефективності здійснення заходів, передбачених Програмою.</w:t>
            </w:r>
          </w:p>
          <w:p>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hAnsi="Times New Roman"/>
                <w:color w:val="000000"/>
                <w:sz w:val="19"/>
                <w:szCs w:val="24"/>
              </w:rPr>
            </w:pPr>
            <w:r>
              <w:rPr>
                <w:rFonts w:ascii="Times New Roman" w:hAnsi="Times New Roman"/>
                <w:color w:val="000000"/>
                <w:sz w:val="24"/>
                <w:szCs w:val="24"/>
              </w:rPr>
              <w:t>Крім того слід зазначити, що за результатами вибіркового опитування позичальників було виявлено, що 98,5 % учасників Програми вважають її ефективною і потрібною, а власний досвід участі у Програмі оцінюють як позитивний. Під час опитування 1,5 % позичальників були не задоволені Програмою через її нестабільність функціонування та малу суму відшкодування. 36,3% фізичних осіб-позичальників та 52,9% ОСББ скористались нею більше 2 разів протягом дії Програми, а 85,5% фізичних осіб-позичальників та 100% ОСББ хочуть скористатись Програмою ще раз.</w:t>
            </w:r>
          </w:p>
        </w:tc>
      </w:tr>
    </w:tbl>
    <w:p>
      <w:pPr>
        <w:pStyle w:val="3"/>
        <w:spacing w:before="120" w:after="0" w:line="240" w:lineRule="auto"/>
        <w:rPr>
          <w:rFonts w:ascii="Times New Roman" w:hAnsi="Times New Roman" w:cs="Times New Roman"/>
          <w:b/>
          <w:sz w:val="24"/>
          <w:szCs w:val="24"/>
        </w:rPr>
      </w:pPr>
      <w:r>
        <w:rPr>
          <w:rFonts w:ascii="Times New Roman" w:hAnsi="Times New Roman" w:cs="Times New Roman"/>
          <w:b/>
          <w:sz w:val="24"/>
          <w:szCs w:val="24"/>
        </w:rPr>
        <w:t>Узагальнений висновок про досягнення запланованої мети, завдань бюджетної програми:</w:t>
      </w:r>
    </w:p>
    <w:p>
      <w:pPr>
        <w:pStyle w:val="3"/>
        <w:spacing w:before="120" w:after="0" w:line="240" w:lineRule="auto"/>
        <w:rPr>
          <w:rFonts w:ascii="Times New Roman" w:hAnsi="Times New Roman" w:cs="Times New Roman"/>
          <w:sz w:val="24"/>
          <w:szCs w:val="24"/>
        </w:rPr>
      </w:pPr>
      <w:r>
        <w:rPr>
          <w:rFonts w:ascii="Times New Roman" w:hAnsi="Times New Roman" w:cs="Times New Roman"/>
          <w:sz w:val="24"/>
          <w:szCs w:val="24"/>
        </w:rPr>
        <w:t>У 2020 році за результатами аналізу виконання результативних показників за бюджетною програмою КПКВК 2406060 «</w:t>
      </w:r>
      <w:r>
        <w:rPr>
          <w:rFonts w:ascii="Times New Roman" w:hAnsi="Times New Roman"/>
          <w:color w:val="000000"/>
          <w:sz w:val="24"/>
          <w:szCs w:val="24"/>
        </w:rPr>
        <w:t>Реалізація Державної цільової економічної програми енергоефективності</w:t>
      </w:r>
      <w:r>
        <w:rPr>
          <w:rFonts w:ascii="Times New Roman" w:hAnsi="Times New Roman" w:cs="Times New Roman"/>
          <w:sz w:val="24"/>
          <w:szCs w:val="24"/>
        </w:rPr>
        <w:t>» досягнення мети та виконання завдань забезпечено.</w:t>
      </w:r>
    </w:p>
    <w:p>
      <w:pPr>
        <w:pStyle w:val="3"/>
        <w:spacing w:before="120" w:after="0" w:line="240" w:lineRule="auto"/>
        <w:rPr>
          <w:rFonts w:ascii="Times New Roman" w:hAnsi="Times New Roman" w:cs="Times New Roman"/>
          <w:sz w:val="24"/>
          <w:szCs w:val="24"/>
        </w:rPr>
      </w:pPr>
    </w:p>
    <w:p>
      <w:pPr>
        <w:pStyle w:val="3"/>
        <w:spacing w:before="120" w:after="0" w:line="240" w:lineRule="auto"/>
        <w:rPr>
          <w:rFonts w:ascii="Times New Roman" w:hAnsi="Times New Roman" w:cs="Times New Roman"/>
          <w:sz w:val="24"/>
          <w:szCs w:val="24"/>
        </w:rPr>
      </w:pPr>
    </w:p>
    <w:tbl>
      <w:tblPr>
        <w:tblW w:w="15168" w:type="dxa"/>
        <w:jc w:val="center"/>
        <w:tblLook w:val="0000" w:firstRow="0" w:lastRow="0" w:firstColumn="0" w:lastColumn="0" w:noHBand="0" w:noVBand="0"/>
      </w:tblPr>
      <w:tblGrid>
        <w:gridCol w:w="6546"/>
        <w:gridCol w:w="3543"/>
        <w:gridCol w:w="5079"/>
      </w:tblGrid>
      <w:tr>
        <w:trPr>
          <w:jc w:val="center"/>
        </w:trPr>
        <w:tc>
          <w:tcPr>
            <w:tcW w:w="6546" w:type="dxa"/>
            <w:shd w:val="clear" w:color="auto" w:fill="auto"/>
          </w:tcPr>
          <w:p>
            <w:pPr>
              <w:spacing w:after="0" w:line="240" w:lineRule="auto"/>
              <w:ind w:right="-420"/>
              <w:rPr>
                <w:rFonts w:ascii="Times New Roman" w:hAnsi="Times New Roman" w:cs="Times New Roman"/>
                <w:sz w:val="24"/>
                <w:szCs w:val="24"/>
              </w:rPr>
            </w:pPr>
            <w:r>
              <w:rPr>
                <w:rFonts w:ascii="Times New Roman" w:hAnsi="Times New Roman" w:cs="Times New Roman"/>
                <w:b/>
                <w:sz w:val="24"/>
                <w:szCs w:val="24"/>
              </w:rPr>
              <w:t>Заступник Міністра</w:t>
            </w:r>
          </w:p>
        </w:tc>
        <w:tc>
          <w:tcPr>
            <w:tcW w:w="3543" w:type="dxa"/>
            <w:shd w:val="clear" w:color="auto" w:fill="auto"/>
          </w:tcPr>
          <w:p>
            <w:pPr>
              <w:spacing w:after="0" w:line="240" w:lineRule="auto"/>
              <w:ind w:left="284" w:right="50"/>
              <w:jc w:val="center"/>
              <w:rPr>
                <w:rFonts w:ascii="Times New Roman" w:hAnsi="Times New Roman" w:cs="Times New Roman"/>
                <w:sz w:val="24"/>
                <w:szCs w:val="24"/>
              </w:rPr>
            </w:pPr>
            <w:r>
              <w:rPr>
                <w:rFonts w:ascii="Times New Roman" w:hAnsi="Times New Roman" w:cs="Times New Roman"/>
                <w:sz w:val="24"/>
                <w:szCs w:val="24"/>
              </w:rPr>
              <w:t>_______________________</w:t>
            </w:r>
          </w:p>
          <w:p>
            <w:pPr>
              <w:spacing w:after="0" w:line="240" w:lineRule="auto"/>
              <w:ind w:right="50"/>
              <w:rPr>
                <w:rFonts w:ascii="Times New Roman" w:hAnsi="Times New Roman" w:cs="Times New Roman"/>
                <w:sz w:val="20"/>
                <w:szCs w:val="20"/>
              </w:rPr>
            </w:pPr>
            <w:r>
              <w:rPr>
                <w:rFonts w:ascii="Times New Roman" w:hAnsi="Times New Roman" w:cs="Times New Roman"/>
                <w:sz w:val="20"/>
                <w:szCs w:val="20"/>
              </w:rPr>
              <w:t xml:space="preserve">                             (підпис)</w:t>
            </w:r>
          </w:p>
        </w:tc>
        <w:tc>
          <w:tcPr>
            <w:tcW w:w="5079" w:type="dxa"/>
            <w:shd w:val="clear" w:color="auto" w:fill="auto"/>
          </w:tcPr>
          <w:p>
            <w:pPr>
              <w:spacing w:after="0" w:line="240" w:lineRule="auto"/>
              <w:ind w:left="284" w:right="50"/>
              <w:jc w:val="center"/>
              <w:rPr>
                <w:rFonts w:ascii="Times New Roman" w:hAnsi="Times New Roman" w:cs="Times New Roman"/>
                <w:b/>
                <w:sz w:val="24"/>
                <w:szCs w:val="24"/>
              </w:rPr>
            </w:pPr>
            <w:r>
              <w:rPr>
                <w:rFonts w:ascii="Times New Roman" w:hAnsi="Times New Roman" w:cs="Times New Roman"/>
                <w:b/>
                <w:sz w:val="24"/>
                <w:szCs w:val="24"/>
              </w:rPr>
              <w:t>Юрій БОЙКО</w:t>
            </w:r>
          </w:p>
          <w:p>
            <w:pPr>
              <w:spacing w:after="0" w:line="240" w:lineRule="auto"/>
              <w:ind w:left="284" w:right="64"/>
              <w:jc w:val="center"/>
              <w:rPr>
                <w:rFonts w:ascii="Times New Roman" w:hAnsi="Times New Roman" w:cs="Times New Roman"/>
                <w:sz w:val="24"/>
                <w:szCs w:val="24"/>
              </w:rPr>
            </w:pPr>
          </w:p>
        </w:tc>
      </w:tr>
    </w:tbl>
    <w:p>
      <w:pPr>
        <w:pStyle w:val="3"/>
        <w:spacing w:before="120" w:after="0" w:line="240" w:lineRule="auto"/>
        <w:rPr>
          <w:rFonts w:ascii="Times New Roman" w:hAnsi="Times New Roman" w:cs="Times New Roman"/>
          <w:sz w:val="24"/>
          <w:szCs w:val="24"/>
        </w:rPr>
      </w:pPr>
    </w:p>
    <w:p>
      <w:pPr>
        <w:pStyle w:val="3"/>
        <w:spacing w:before="120" w:after="0" w:line="240" w:lineRule="auto"/>
        <w:rPr>
          <w:rFonts w:ascii="Times New Roman" w:hAnsi="Times New Roman" w:cs="Times New Roman"/>
          <w:sz w:val="24"/>
          <w:szCs w:val="24"/>
        </w:rPr>
      </w:pPr>
    </w:p>
    <w:p>
      <w:pPr>
        <w:pStyle w:val="3"/>
        <w:spacing w:after="0" w:line="240" w:lineRule="auto"/>
        <w:jc w:val="both"/>
        <w:rPr>
          <w:rFonts w:ascii="Times New Roman" w:hAnsi="Times New Roman" w:cs="Times New Roman"/>
          <w:b/>
          <w:sz w:val="24"/>
          <w:szCs w:val="24"/>
        </w:rPr>
      </w:pPr>
    </w:p>
    <w:tbl>
      <w:tblPr>
        <w:tblW w:w="8622" w:type="dxa"/>
        <w:jc w:val="center"/>
        <w:tblLook w:val="0000" w:firstRow="0" w:lastRow="0" w:firstColumn="0" w:lastColumn="0" w:noHBand="0" w:noVBand="0"/>
      </w:tblPr>
      <w:tblGrid>
        <w:gridCol w:w="3543"/>
        <w:gridCol w:w="5079"/>
      </w:tblGrid>
      <w:tr>
        <w:trPr>
          <w:jc w:val="center"/>
        </w:trPr>
        <w:tc>
          <w:tcPr>
            <w:tcW w:w="3543" w:type="dxa"/>
            <w:shd w:val="clear" w:color="auto" w:fill="auto"/>
          </w:tcPr>
          <w:p>
            <w:pPr>
              <w:spacing w:after="0" w:line="240" w:lineRule="auto"/>
              <w:ind w:left="284" w:right="50"/>
              <w:jc w:val="center"/>
              <w:rPr>
                <w:rFonts w:ascii="Times New Roman" w:hAnsi="Times New Roman" w:cs="Times New Roman"/>
                <w:sz w:val="24"/>
                <w:szCs w:val="24"/>
              </w:rPr>
            </w:pPr>
          </w:p>
        </w:tc>
        <w:tc>
          <w:tcPr>
            <w:tcW w:w="5079" w:type="dxa"/>
            <w:shd w:val="clear" w:color="auto" w:fill="auto"/>
          </w:tcPr>
          <w:p>
            <w:pPr>
              <w:spacing w:after="0" w:line="240" w:lineRule="auto"/>
              <w:ind w:left="284" w:right="64"/>
              <w:jc w:val="center"/>
              <w:rPr>
                <w:rFonts w:ascii="Times New Roman" w:hAnsi="Times New Roman" w:cs="Times New Roman"/>
                <w:sz w:val="24"/>
                <w:szCs w:val="24"/>
              </w:rPr>
            </w:pPr>
          </w:p>
        </w:tc>
      </w:tr>
    </w:tbl>
    <w:p>
      <w:pPr>
        <w:pStyle w:val="3"/>
        <w:spacing w:before="120" w:after="0" w:line="240" w:lineRule="auto"/>
        <w:rPr>
          <w:rFonts w:ascii="Times New Roman" w:hAnsi="Times New Roman" w:cs="Times New Roman"/>
          <w:sz w:val="20"/>
          <w:szCs w:val="20"/>
        </w:rPr>
      </w:pPr>
    </w:p>
    <w:sectPr>
      <w:pgSz w:w="16838" w:h="11906" w:orient="landscape" w:code="9"/>
      <w:pgMar w:top="567" w:right="397" w:bottom="425" w:left="85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3782C"/>
    <w:multiLevelType w:val="hybridMultilevel"/>
    <w:tmpl w:val="600635A6"/>
    <w:lvl w:ilvl="0" w:tplc="4C220CEE">
      <w:start w:val="2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D624B3"/>
    <w:multiLevelType w:val="hybridMultilevel"/>
    <w:tmpl w:val="0E788DF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75E16FB"/>
    <w:multiLevelType w:val="hybridMultilevel"/>
    <w:tmpl w:val="693A724C"/>
    <w:lvl w:ilvl="0" w:tplc="282203CE">
      <w:start w:val="3"/>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6DE53DFE"/>
    <w:multiLevelType w:val="hybridMultilevel"/>
    <w:tmpl w:val="BF024254"/>
    <w:lvl w:ilvl="0" w:tplc="71F0634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74C27-7B51-4444-A3AD-1F0CD3E9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3">
    <w:name w:val="Body Text 3"/>
    <w:basedOn w:val="a"/>
    <w:link w:val="30"/>
    <w:uiPriority w:val="99"/>
    <w:unhideWhenUsed/>
    <w:pPr>
      <w:spacing w:after="120" w:line="276" w:lineRule="auto"/>
    </w:pPr>
    <w:rPr>
      <w:rFonts w:eastAsiaTheme="minorEastAsia"/>
      <w:sz w:val="16"/>
      <w:szCs w:val="16"/>
      <w:lang w:eastAsia="uk-UA"/>
    </w:rPr>
  </w:style>
  <w:style w:type="character" w:customStyle="1" w:styleId="30">
    <w:name w:val="Основной текст 3 Знак"/>
    <w:basedOn w:val="a0"/>
    <w:link w:val="3"/>
    <w:uiPriority w:val="99"/>
    <w:rPr>
      <w:rFonts w:eastAsiaTheme="minorEastAsia"/>
      <w:sz w:val="16"/>
      <w:szCs w:val="16"/>
      <w:lang w:eastAsia="uk-UA"/>
    </w:rPr>
  </w:style>
  <w:style w:type="table" w:styleId="a4">
    <w:name w:val="Table Grid"/>
    <w:basedOn w:val="a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Pr>
      <w:rFonts w:ascii="Segoe UI" w:hAnsi="Segoe UI" w:cs="Segoe UI"/>
      <w:sz w:val="18"/>
      <w:szCs w:val="18"/>
    </w:rPr>
  </w:style>
  <w:style w:type="paragraph" w:customStyle="1" w:styleId="1">
    <w:name w:val="Звичайний1"/>
    <w:pPr>
      <w:spacing w:after="0" w:line="240" w:lineRule="auto"/>
    </w:pPr>
    <w:rPr>
      <w:rFonts w:ascii="Times New Roman" w:eastAsia="Times New Roman" w:hAnsi="Times New Roman" w:cs="Times New Roman"/>
      <w:snapToGrid w:val="0"/>
      <w:sz w:val="20"/>
      <w:szCs w:val="20"/>
      <w:lang w:val="en-US" w:eastAsia="ru-RU"/>
    </w:rPr>
  </w:style>
  <w:style w:type="paragraph" w:styleId="a7">
    <w:name w:val="Revision"/>
    <w:hidden/>
    <w:uiPriority w:val="99"/>
    <w:semiHidden/>
    <w:pPr>
      <w:spacing w:after="0" w:line="240" w:lineRule="auto"/>
    </w:pPr>
  </w:style>
  <w:style w:type="character" w:styleId="a8">
    <w:name w:val="annotation reference"/>
    <w:basedOn w:val="a0"/>
    <w:uiPriority w:val="99"/>
    <w:semiHidden/>
    <w:unhideWhenUsed/>
    <w:rPr>
      <w:sz w:val="16"/>
      <w:szCs w:val="16"/>
    </w:rPr>
  </w:style>
  <w:style w:type="paragraph" w:styleId="a9">
    <w:name w:val="annotation text"/>
    <w:basedOn w:val="a"/>
    <w:link w:val="aa"/>
    <w:uiPriority w:val="99"/>
    <w:unhideWhenUsed/>
    <w:pPr>
      <w:spacing w:line="240" w:lineRule="auto"/>
    </w:pPr>
    <w:rPr>
      <w:sz w:val="20"/>
      <w:szCs w:val="20"/>
    </w:rPr>
  </w:style>
  <w:style w:type="character" w:customStyle="1" w:styleId="aa">
    <w:name w:val="Текст примечания Знак"/>
    <w:basedOn w:val="a0"/>
    <w:link w:val="a9"/>
    <w:uiPriority w:val="99"/>
    <w:rPr>
      <w:sz w:val="20"/>
      <w:szCs w:val="20"/>
    </w:rPr>
  </w:style>
  <w:style w:type="paragraph" w:styleId="ab">
    <w:name w:val="annotation subject"/>
    <w:basedOn w:val="a9"/>
    <w:next w:val="a9"/>
    <w:link w:val="ac"/>
    <w:uiPriority w:val="99"/>
    <w:semiHidden/>
    <w:unhideWhenUsed/>
    <w:rPr>
      <w:b/>
      <w:bCs/>
    </w:rPr>
  </w:style>
  <w:style w:type="character" w:customStyle="1" w:styleId="ac">
    <w:name w:val="Тема примечания Знак"/>
    <w:basedOn w:val="aa"/>
    <w:link w:val="ab"/>
    <w:uiPriority w:val="99"/>
    <w:semiHidden/>
    <w:rPr>
      <w:b/>
      <w:bCs/>
      <w:sz w:val="20"/>
      <w:szCs w:val="20"/>
    </w:rPr>
  </w:style>
  <w:style w:type="paragraph" w:styleId="ad">
    <w:name w:val="header"/>
    <w:basedOn w:val="a"/>
    <w:link w:val="ae"/>
    <w:uiPriority w:val="99"/>
    <w:unhideWhenUsed/>
    <w:pPr>
      <w:tabs>
        <w:tab w:val="center" w:pos="4819"/>
        <w:tab w:val="right" w:pos="9639"/>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819"/>
        <w:tab w:val="right" w:pos="9639"/>
      </w:tabs>
      <w:spacing w:after="0" w:line="240" w:lineRule="auto"/>
    </w:pPr>
  </w:style>
  <w:style w:type="character" w:customStyle="1" w:styleId="af0">
    <w:name w:val="Нижний колонтитул Знак"/>
    <w:basedOn w:val="a0"/>
    <w:link w:val="a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6081C-5055-4971-8FB8-FD33CD7F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41471</Words>
  <Characters>23640</Characters>
  <Application>Microsoft Office Word</Application>
  <DocSecurity>0</DocSecurity>
  <Lines>197</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64982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Кондратенко Тамара Миколаївна</dc:creator>
  <cp:lastModifiedBy>Елена Курмаз</cp:lastModifiedBy>
  <cp:revision>92</cp:revision>
  <cp:lastPrinted>2021-02-19T09:42:00Z</cp:lastPrinted>
  <dcterms:created xsi:type="dcterms:W3CDTF">2021-02-17T11:32:00Z</dcterms:created>
  <dcterms:modified xsi:type="dcterms:W3CDTF">2021-02-25T07:17:00Z</dcterms:modified>
</cp:coreProperties>
</file>