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A7" w:rsidRPr="005E40A7" w:rsidRDefault="005E40A7" w:rsidP="005E40A7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2016</w:t>
      </w:r>
      <w:bookmarkEnd w:id="0"/>
    </w:p>
    <w:p w:rsidR="005E40A7" w:rsidRPr="005E40A7" w:rsidRDefault="005E40A7" w:rsidP="005E40A7">
      <w:pPr>
        <w:shd w:val="clear" w:color="auto" w:fill="FFFFFF"/>
        <w:spacing w:after="0" w:line="416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Правління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Міністерстві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промисловості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</w:p>
    <w:p w:rsidR="005E40A7" w:rsidRPr="005E40A7" w:rsidRDefault="005E40A7" w:rsidP="005E40A7">
      <w:pPr>
        <w:shd w:val="clear" w:color="auto" w:fill="FFFFFF"/>
        <w:spacing w:after="0" w:line="416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4111"/>
      </w:tblGrid>
      <w:tr w:rsidR="005E40A7" w:rsidRPr="005E40A7" w:rsidTr="005E40A7">
        <w:trPr>
          <w:trHeight w:val="442"/>
          <w:jc w:val="center"/>
        </w:trPr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A7" w:rsidRPr="005E40A7" w:rsidRDefault="005E40A7" w:rsidP="005E40A7">
            <w:pPr>
              <w:spacing w:after="0" w:line="208" w:lineRule="atLeast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E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0A7" w:rsidRPr="005E40A7" w:rsidRDefault="005E40A7" w:rsidP="005E40A7">
            <w:pPr>
              <w:spacing w:after="0" w:line="208" w:lineRule="atLeast"/>
              <w:ind w:hanging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Київ,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Хрещатик,34</w:t>
            </w:r>
          </w:p>
        </w:tc>
      </w:tr>
    </w:tbl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ПРИСУТНІ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Члени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Правління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</w:p>
    <w:p w:rsidR="005E40A7" w:rsidRPr="005E40A7" w:rsidRDefault="005E40A7" w:rsidP="005E40A7">
      <w:pPr>
        <w:shd w:val="clear" w:color="auto" w:fill="FFFFFF"/>
        <w:spacing w:after="0" w:line="50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4"/>
          <w:szCs w:val="24"/>
          <w:lang w:eastAsia="ru-RU"/>
        </w:rPr>
      </w:pPr>
      <w:proofErr w:type="spellStart"/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Поташник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С.І.,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Татаринов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А.А.,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Ніколаєнко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В.М.,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Ковальчук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Ю.Г.,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Григоровський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В.В.,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Яцкевич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С.В.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Члени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ради: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Ананенко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О.М.,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Дупак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О.С.,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Григорук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І.А.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ЗАПРОШЕНІ: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Лабоженко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Д.Б.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заступник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Міністра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промисловості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керівник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апарату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Пержинська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С.Л.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звітності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Угрюмова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С.С.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економіки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фінансів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Дудка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Г.І.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відділу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взаємодії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засобами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ЗМІ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зв’язків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громадськістю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5E40A7">
        <w:rPr>
          <w:rFonts w:ascii="Times New Roman" w:eastAsia="Times New Roman" w:hAnsi="Times New Roman" w:cs="Times New Roman"/>
          <w:b/>
          <w:bCs/>
          <w:smallCaps/>
          <w:color w:val="2C2C2C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ушніров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smallCaps/>
          <w:color w:val="2C2C2C"/>
          <w:sz w:val="24"/>
          <w:szCs w:val="24"/>
          <w:lang w:eastAsia="ru-RU"/>
        </w:rPr>
        <w:t>В.А.</w:t>
      </w:r>
      <w:r>
        <w:rPr>
          <w:rFonts w:ascii="Times New Roman" w:eastAsia="Times New Roman" w:hAnsi="Times New Roman" w:cs="Times New Roman"/>
          <w:b/>
          <w:bCs/>
          <w:smallCap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smallCaps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mallCaps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відділу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взаємодії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міжнародними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фінансовими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організаціями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Усачов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О.М.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охорони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праці,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промислової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безпеки,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фізичного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цивільного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захисту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Плачков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Г.І.-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управління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атомно-промислового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комплексу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284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Кужель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П.С.-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відділу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реалізації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реструктуризації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проектно-технічного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супроводу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ліквідації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підприємств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вугільно-промислового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комплексу</w:t>
      </w:r>
    </w:p>
    <w:p w:rsidR="005E40A7" w:rsidRPr="005E40A7" w:rsidRDefault="005E40A7" w:rsidP="005E40A7">
      <w:pPr>
        <w:shd w:val="clear" w:color="auto" w:fill="FFFFFF"/>
        <w:spacing w:after="0" w:line="286" w:lineRule="atLeast"/>
        <w:ind w:hanging="72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hanging="72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Питання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розгляду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ind w:hanging="72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ind w:hanging="36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Обговорення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Державного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рік».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ind w:hanging="36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      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Різне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ind w:hanging="72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С.І.Поташник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привітав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присутніх,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проінформував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наявність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кворуму,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оголосив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порядку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денного,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відкрив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слово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керівнику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Секретаріату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Яцкевичу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С.В.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Яцкевича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С.В.,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зачитав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доручення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Прем’єр-Міністра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В.Гройсмана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(додаток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№1)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необхідності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залучення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формування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реалізації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державної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політики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підвищення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державних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рішень.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Повідомив,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виконання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цього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документу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Секретаріатом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підготовлено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Окреме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доручення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зауважив,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сьогоднішнього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теж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виконання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даного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доручення.</w:t>
      </w:r>
    </w:p>
    <w:p w:rsidR="005E40A7" w:rsidRPr="005E40A7" w:rsidRDefault="005E40A7" w:rsidP="005E40A7">
      <w:pPr>
        <w:shd w:val="clear" w:color="auto" w:fill="FFFFFF"/>
        <w:spacing w:after="0" w:line="507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Лабоженка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Д.Б.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який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відзначив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співпрацю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громадськими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радами,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як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єдиний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цивілізований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дієвий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механізм,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націлений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результативну,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професійну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співпрацю.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Зауважив,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Міністерство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розраховує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фахову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допомогу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членів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Громадської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ради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вирішенні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проблемних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питань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покращення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стану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галузі.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Лабоженко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також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зазначив,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Державного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рік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ставить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здійснити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заплановані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реформи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енергетиці.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Зокрема,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передбачені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Міністерства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видатки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дозволять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розпочати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реальну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реструктуризацію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вугільних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шахт.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Заступник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Міністра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наголосив,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співпраця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Громадською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радою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є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важливою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Міністерства.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Залучення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фахівців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від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громадськості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обговорення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Державного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сприяє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забезпеченню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відкритості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процесу.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С.Угрюмову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поінформувала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заплановані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видатки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напрацьованих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Міністерством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програм,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планується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реалізувати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межах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видатків.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Держбюджет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року,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думку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представників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Міністерства,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дозволить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здійснити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заплановані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заходи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реформування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модернізації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енергетиці.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достатньо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коштів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реструктуризацію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підприємств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важливість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реструктуризації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була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звернена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особлива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увага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оскільки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затримка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впровадження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реструктуризації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призводить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неефективного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використання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коштів.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Також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Державного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передбачає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достатній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обсяг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коштів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підтримки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державних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шахт,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дасть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можливість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вчасно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виплачувати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заробітну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плату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шахтарям.</w:t>
      </w:r>
    </w:p>
    <w:p w:rsidR="005E40A7" w:rsidRPr="005E40A7" w:rsidRDefault="005E40A7" w:rsidP="005E40A7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Татаринова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ситуації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Зокрема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він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обгрунтував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необхідність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збільшення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собівартість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вугілля,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переліку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захищених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статтю,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стосується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реструктуризації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підприємств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щоб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унеможливити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перерозподіл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коштів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(додаток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№2).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Ніколаєнка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В.М.,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залучати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якомога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раніше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початку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процесу,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етапі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формування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цільових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програм.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бюджеті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року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немає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нічого,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сприяло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розвитку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 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нафтопереробної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галузі.Необхідно</w:t>
      </w:r>
      <w:proofErr w:type="spellEnd"/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цільовій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програмі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"Прикладні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наукові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науково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технічні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розробки,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виконання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робіт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державними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цільовими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програмами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державним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замовленням,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підготовка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наукових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кадрів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фінансова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підтримка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розвитку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наукової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інфраструктури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сфері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паливно-енергетичного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комплексу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промисловості"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розробку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стратегії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розвитку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(відродження)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нафтопереробної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промисловості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України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зазначив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він.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Зауважив,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сьогоднішній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якісь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зміни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запізно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майже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реально.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Разом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тим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бажано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стратегічно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важливо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щоб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пропозиція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була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врахована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хоча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формуванні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Григоровського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В.В.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пропозицією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взяти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відома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представників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обсягах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напрямах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використання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коштів.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Ковальчук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Ю.Г.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запропонував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обговорення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менш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ніж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днів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повному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обсязі.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Григорука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І.А.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зауважив,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обговоренні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працівниками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Міністерства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було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тільки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зведену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таблицю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відображенням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загальних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сум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динаміці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минулий,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поточний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періоди.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Зазначив,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спробі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розглянути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розшифровку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складових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незрозумілі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загальні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кінцеві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суми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статтях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галузях.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Відсутність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паспортів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унеможливило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детально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розглянути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обгрунтування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виділених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коштів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проектом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кожній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цілому.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обговоренні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взяли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участь: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Пержинська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С.Л.,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Плачков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Г.І.,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Кужель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П.С.,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Татаринов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А.А.,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Ковальчук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Ю.Г.,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С.І.,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Яцкевич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С.В.,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smallCaps/>
          <w:color w:val="2C2C2C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ушніров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smallCaps/>
          <w:color w:val="2C2C2C"/>
          <w:sz w:val="24"/>
          <w:szCs w:val="24"/>
          <w:lang w:eastAsia="ru-RU"/>
        </w:rPr>
        <w:t>В.А.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Ніколаєнко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В.М.,</w:t>
      </w:r>
      <w:r>
        <w:rPr>
          <w:rFonts w:ascii="Times New Roman" w:eastAsia="Times New Roman" w:hAnsi="Times New Roman" w:cs="Times New Roman"/>
          <w:b/>
          <w:bCs/>
          <w:smallCaps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Григоровський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В.В.,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Григорук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І.А.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Яцкевича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С.В.,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запропонував:</w:t>
      </w:r>
    </w:p>
    <w:p w:rsidR="005E40A7" w:rsidRPr="005E40A7" w:rsidRDefault="005E40A7" w:rsidP="005E40A7">
      <w:pPr>
        <w:shd w:val="clear" w:color="auto" w:fill="FFFFFF"/>
        <w:spacing w:after="0" w:line="286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всім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хто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брав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участь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обговоренні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Державного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сформулювати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свої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виступи,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пропозиції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зауваження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Секретаріату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включення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протоколу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14.00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год.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жовтня.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доручити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робочій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групі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складі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С.І.,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Татаринова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А.А.,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Яцкевича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С.В.,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Ніколаєнка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опрацювати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головами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підготувати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засідання.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ind w:hanging="36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доручити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Поташнику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С.І.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підписати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засідання.</w:t>
      </w:r>
    </w:p>
    <w:p w:rsidR="005E40A7" w:rsidRPr="005E40A7" w:rsidRDefault="005E40A7" w:rsidP="005E40A7">
      <w:pPr>
        <w:shd w:val="clear" w:color="auto" w:fill="FFFFFF"/>
        <w:spacing w:after="0" w:line="507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Голосували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u w:val="single"/>
          <w:lang w:eastAsia="ru-RU"/>
        </w:rPr>
        <w:t>одноголосно</w:t>
      </w:r>
      <w:r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доручення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Голові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Поташнику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С.І.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підписати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засідання.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aps/>
          <w:color w:val="2C2C2C"/>
          <w:sz w:val="24"/>
          <w:szCs w:val="24"/>
          <w:u w:val="single"/>
          <w:lang w:eastAsia="ru-RU"/>
        </w:rPr>
        <w:t>УХВАЛИЛИ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Доручити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Поташнику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С.І.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підписати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засідання.</w:t>
      </w:r>
    </w:p>
    <w:p w:rsidR="005E40A7" w:rsidRPr="005E40A7" w:rsidRDefault="005E40A7" w:rsidP="005E40A7">
      <w:pPr>
        <w:shd w:val="clear" w:color="auto" w:fill="FFFFFF"/>
        <w:spacing w:after="0" w:line="286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aps/>
          <w:color w:val="2C2C2C"/>
          <w:sz w:val="24"/>
          <w:szCs w:val="24"/>
          <w:lang w:eastAsia="ru-RU"/>
        </w:rPr>
        <w:t>РІШЕННЯ</w:t>
      </w:r>
    </w:p>
    <w:p w:rsidR="005E40A7" w:rsidRPr="005E40A7" w:rsidRDefault="005E40A7" w:rsidP="005E40A7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Правління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результатами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Закону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"Про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Державний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рік"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участі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офіційних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представників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Міністерства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     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економіки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фінансів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Угрюмової</w:t>
      </w:r>
      <w:proofErr w:type="spellEnd"/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С.С.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взяти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відома.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     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Додатково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опрацювати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наступні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питання: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переліку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захищених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реструктуризації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підприємств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галузі»,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дасть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можливість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переглядах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корегуванні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перерозподілити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кошти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інші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заходи.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Збільшити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загальний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обсяг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проблемних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працевлаштування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робітників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об’єктів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припинять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функціонування.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     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Першочергово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потребує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вирішення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бюджетних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програмам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галузі: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КПКВК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1101110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«Державна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підтримка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вугледобувних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підприємств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часткове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покриття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витрат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із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собівартості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готової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товарної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продукції».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видатки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обсязі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1000,0млн.грн.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Підпунктом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6.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4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пункту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«Р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ф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м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вуг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іл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ь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ї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га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л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у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зі»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розділу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X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I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«Реформа</w:t>
      </w:r>
      <w:r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енергетики</w:t>
      </w:r>
      <w:r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енергонезалежність»</w:t>
      </w:r>
      <w:r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Коаліційної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угоди,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ратифікованої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Верховною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VIII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скликання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здійснення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п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ти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ація</w:t>
      </w:r>
      <w:r>
        <w:rPr>
          <w:rFonts w:ascii="Times New Roman" w:eastAsia="Times New Roman" w:hAnsi="Times New Roman" w:cs="Times New Roman"/>
          <w:color w:val="2C2C2C"/>
          <w:spacing w:val="3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ер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жав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ої</w:t>
      </w:r>
      <w:r>
        <w:rPr>
          <w:rFonts w:ascii="Times New Roman" w:eastAsia="Times New Roman" w:hAnsi="Times New Roman" w:cs="Times New Roman"/>
          <w:color w:val="2C2C2C"/>
          <w:spacing w:val="3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тр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им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C"/>
          <w:spacing w:val="33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вугіль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ої</w:t>
      </w:r>
      <w:r>
        <w:rPr>
          <w:rFonts w:ascii="Times New Roman" w:eastAsia="Times New Roman" w:hAnsi="Times New Roman" w:cs="Times New Roman"/>
          <w:color w:val="2C2C2C"/>
          <w:spacing w:val="3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г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алу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pacing w:val="33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pacing w:val="3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т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ою</w:t>
      </w:r>
      <w:r>
        <w:rPr>
          <w:rFonts w:ascii="Times New Roman" w:eastAsia="Times New Roman" w:hAnsi="Times New Roman" w:cs="Times New Roman"/>
          <w:color w:val="2C2C2C"/>
          <w:spacing w:val="33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в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д</w:t>
      </w:r>
      <w:r w:rsidRPr="005E40A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C2C2C"/>
          <w:spacing w:val="3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еф</w:t>
      </w:r>
      <w:r w:rsidRPr="005E40A7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тив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ест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Pr="005E40A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ації</w:t>
      </w:r>
      <w:r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г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алу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(л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ік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відація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он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вація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шахт),</w:t>
      </w:r>
      <w:r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абе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печ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пн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б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вугілля</w:t>
      </w:r>
      <w:r>
        <w:rPr>
          <w:rFonts w:ascii="Times New Roman" w:eastAsia="Times New Roman" w:hAnsi="Times New Roman" w:cs="Times New Roman"/>
          <w:color w:val="2C2C2C"/>
          <w:spacing w:val="3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ч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0</w:t>
      </w:r>
      <w:r w:rsidRPr="005E40A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2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року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ер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жав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ої</w:t>
      </w:r>
      <w:r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т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им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pacing w:val="4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м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аль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г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ся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г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(тіль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цілей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 w:rsidRPr="005E40A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і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дливу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ах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ис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ту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авколиш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ьо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г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C"/>
          <w:spacing w:val="6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с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ед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в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ища)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шля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х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оз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к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C"/>
          <w:spacing w:val="2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відпові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д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pacing w:val="-2"/>
          <w:sz w:val="24"/>
          <w:szCs w:val="24"/>
          <w:lang w:eastAsia="ru-RU"/>
        </w:rPr>
        <w:t>о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г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З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ако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р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аї</w:t>
      </w:r>
      <w:r w:rsidRPr="005E40A7">
        <w:rPr>
          <w:rFonts w:ascii="Times New Roman" w:eastAsia="Times New Roman" w:hAnsi="Times New Roman" w:cs="Times New Roman"/>
          <w:color w:val="2C2C2C"/>
          <w:spacing w:val="-1"/>
          <w:sz w:val="24"/>
          <w:szCs w:val="24"/>
          <w:lang w:eastAsia="ru-RU"/>
        </w:rPr>
        <w:t>н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и.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урахуванням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підвищення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13,5%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базової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ціни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тонни</w:t>
      </w:r>
      <w:proofErr w:type="spellEnd"/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товарної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вугільної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продукції,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постачається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енергетику,</w:t>
      </w:r>
      <w:r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pacing w:val="1"/>
          <w:sz w:val="24"/>
          <w:szCs w:val="24"/>
          <w:lang w:eastAsia="ru-RU"/>
        </w:rPr>
        <w:t>м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інімально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необхідний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обсяг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держпідтримки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розрахунками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фахівців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складає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2912,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млн.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гривень.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КПКВК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1101530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«Державна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підтримка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шахти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Нововолинська».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урахуванням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фактичного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будівництва,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існуючого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технічного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людського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потенціалу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підрядних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організацій,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продовження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шахти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році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необхідно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450,0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млн.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грн.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20,0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млн.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грн.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дозволить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здійснювати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лише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утримання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комплексу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безаварійному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режимі.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     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Розглянути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можливість: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об’єктів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відкритого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видобутку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зменшення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вартості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вугілля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вартості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електроенергії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т.п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заходи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відродження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нафтопереробної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впровадженням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сучасних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технологій;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проведення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відповідної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експертизи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енергоаудиту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підприємств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Міненерговугілля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зменшення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операційних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витрат,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впровадження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сучасних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технологій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використанням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«скидного»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тепла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електростанцій;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статтях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2017р.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кошти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установку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теплових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насосів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атомними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електростанціями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використання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води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"після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охолодження"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температурі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60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генерації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електроенергії;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підприємствах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міністерства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заміну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світильників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ДРЛ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вітчизняні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енергоефективні;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Розглянути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вирішити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боргів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спожиті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енергоносії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усіх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галузях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економіки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особливо,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стосується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штрафних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санкції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пені;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Вирішити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проблемних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атомно-промислового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комплексу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напрямках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безпеки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функціонування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АЕС,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створення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фонду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виведення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АЕС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робочого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циклу,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ЦСВЯП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т.п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Визначитись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реконструкції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ТЕС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збільшення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регулюючого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діапазону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роботи,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вирішення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екологічних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питань,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виконання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вимог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ENTSO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т.д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Додатково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опрацювати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розвитку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газодобувної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газотранспортної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системи;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Розглянути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вартості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енергоносіїв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розробити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їх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зменшення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споживачів,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особливо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пенсіонерів.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     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Крім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того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>необхідно: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повну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розшифровку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складових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статей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метою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їх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повного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аналізу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уточнення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сьогоденних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потреб;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Залучати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питань,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пов'язаних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бюджетним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процесом,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стадії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відповідних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пропозицій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їх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направлення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розгляд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погодження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Кабінету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Міністрів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Мінекономрозвитку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Мінфіну;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коригуванні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зміни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передбачення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видатків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розробку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третьої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редакції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Енергетичної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стратегії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Збільшити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фінансування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розробки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Енергетичної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Стратегії;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економіки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фінансів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стан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виконання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програм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попередній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причини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їх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невиконання;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матеріали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місяці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його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подання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Верховної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Галузевим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департаментам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Департаменту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стратегії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розвитку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інвестиційної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політики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заздалегідь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залучати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відповідні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роботи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Бюджетом;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інтеграції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законодавства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відповідних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стандартів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законодавства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вимог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ЕС.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86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>Різне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Поташника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С.І.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пропозицією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призначити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наступне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засідання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розгляду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підготовки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проходження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осінньо-зимового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періоду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(ОЗП)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листопада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п.р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b/>
          <w:bCs/>
          <w:i/>
          <w:iCs/>
          <w:color w:val="2C2C2C"/>
          <w:sz w:val="24"/>
          <w:szCs w:val="24"/>
          <w:lang w:eastAsia="ru-RU"/>
        </w:rPr>
        <w:t xml:space="preserve">  </w:t>
      </w:r>
      <w:proofErr w:type="spellStart"/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Яцкевича</w:t>
      </w:r>
      <w:proofErr w:type="spellEnd"/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С.В.,</w:t>
      </w:r>
      <w:r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жовтня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п.р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Секретаріату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складу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своїх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комісій,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плани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роботи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квартал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пропозиції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роботи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рік.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aps/>
          <w:color w:val="2C2C2C"/>
          <w:sz w:val="24"/>
          <w:szCs w:val="24"/>
          <w:u w:val="single"/>
          <w:lang w:eastAsia="ru-RU"/>
        </w:rPr>
        <w:t>УХВАЛИЛИ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жовтня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п.р</w:t>
      </w:r>
      <w:proofErr w:type="spellEnd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інформацію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склад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комісій,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плани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роботи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квартал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пропозиції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роботи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рік.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86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СЛУХАЛИ</w:t>
      </w:r>
      <w:r>
        <w:rPr>
          <w:rFonts w:ascii="Times New Roman" w:eastAsia="Times New Roman" w:hAnsi="Times New Roman" w:cs="Times New Roman"/>
          <w:i/>
          <w:iCs/>
          <w:color w:val="2C2C2C"/>
          <w:sz w:val="24"/>
          <w:szCs w:val="24"/>
          <w:lang w:eastAsia="ru-RU"/>
        </w:rPr>
        <w:t xml:space="preserve"> 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Яцкевича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С.В.,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який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розповів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підготовку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професійного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свята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заступникам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головам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визначитись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кандидатурами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нагородження,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підготувати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відповідні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документи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заздалегідь.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Крім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запропонував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подання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звання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«Заслуженого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України»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кандидатуру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Ковальчука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Ю.Г.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заступника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комісії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питань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енергоефективності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поновлюваної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енергетики,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професора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Академії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енергетики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u w:val="single"/>
          <w:lang w:eastAsia="ru-RU"/>
        </w:rPr>
        <w:t>УХВАЛИЛИ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надати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кандидатуру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Ковальчука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Ю.Г.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відзначення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державною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нагородою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«Заслужений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енергетик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України».</w:t>
      </w:r>
    </w:p>
    <w:p w:rsidR="005E40A7" w:rsidRPr="005E40A7" w:rsidRDefault="005E40A7" w:rsidP="005E40A7">
      <w:pPr>
        <w:shd w:val="clear" w:color="auto" w:fill="FFFFFF"/>
        <w:spacing w:after="0" w:line="286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left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Голова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Громадської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ради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Герой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України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С.І.Поташник</w:t>
      </w:r>
      <w:proofErr w:type="spellEnd"/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Керівник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Секретаріату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С.В.Яцкевич</w:t>
      </w:r>
      <w:proofErr w:type="spellEnd"/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</w:t>
      </w:r>
    </w:p>
    <w:p w:rsidR="005E40A7" w:rsidRPr="005E40A7" w:rsidRDefault="005E40A7" w:rsidP="005E40A7">
      <w:pPr>
        <w:shd w:val="clear" w:color="auto" w:fill="FFFFFF"/>
        <w:spacing w:after="0" w:line="208" w:lineRule="atLeast"/>
        <w:ind w:firstLine="567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Секретар</w:t>
      </w:r>
      <w:r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5E40A7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Л.В.Любарець</w:t>
      </w:r>
    </w:p>
    <w:p w:rsidR="00B5583C" w:rsidRPr="005E40A7" w:rsidRDefault="00B5583C">
      <w:pPr>
        <w:rPr>
          <w:rFonts w:ascii="Times New Roman" w:hAnsi="Times New Roman" w:cs="Times New Roman"/>
          <w:sz w:val="24"/>
          <w:szCs w:val="24"/>
        </w:rPr>
      </w:pPr>
    </w:p>
    <w:sectPr w:rsidR="00B5583C" w:rsidRPr="005E40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A7"/>
    <w:rsid w:val="005E40A7"/>
    <w:rsid w:val="00B5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D9D94-5FAE-4B28-9E01-5CB7E622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4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0A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E40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20">
    <w:name w:val="a2"/>
    <w:basedOn w:val="a"/>
    <w:rsid w:val="005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5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rsid w:val="005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5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basedOn w:val="a0"/>
    <w:rsid w:val="005E4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4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2022-04-27T13:11:00Z</dcterms:created>
  <dcterms:modified xsi:type="dcterms:W3CDTF">2022-04-27T13:13:00Z</dcterms:modified>
</cp:coreProperties>
</file>