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5003B7" w:rsidRDefault="0086232F" w:rsidP="00860ECF">
      <w:pPr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 xml:space="preserve">Додаток </w:t>
      </w:r>
    </w:p>
    <w:p w:rsidR="00C31CEF" w:rsidRPr="005003B7" w:rsidRDefault="00C31CEF" w:rsidP="00C31CEF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>ЗАТВЕРДЖЕНО</w:t>
      </w:r>
      <w:r w:rsidRPr="00292A71">
        <w:rPr>
          <w:sz w:val="26"/>
          <w:szCs w:val="26"/>
        </w:rPr>
        <w:br/>
        <w:t>наказом Міністерства енергетики України</w:t>
      </w:r>
      <w:r w:rsidRPr="00292A71">
        <w:rPr>
          <w:sz w:val="26"/>
          <w:szCs w:val="26"/>
        </w:rPr>
        <w:br/>
      </w:r>
      <w:r w:rsidR="005915E7">
        <w:rPr>
          <w:sz w:val="26"/>
          <w:szCs w:val="26"/>
        </w:rPr>
        <w:t>_________________</w:t>
      </w:r>
      <w:r w:rsidR="00872C15">
        <w:rPr>
          <w:sz w:val="26"/>
          <w:szCs w:val="26"/>
        </w:rPr>
        <w:t xml:space="preserve"> </w:t>
      </w:r>
      <w:r w:rsidR="00D8057E">
        <w:rPr>
          <w:sz w:val="26"/>
          <w:szCs w:val="26"/>
        </w:rPr>
        <w:t xml:space="preserve">№ </w:t>
      </w:r>
      <w:r w:rsidR="005915E7">
        <w:rPr>
          <w:sz w:val="26"/>
          <w:szCs w:val="26"/>
        </w:rPr>
        <w:t>______</w:t>
      </w:r>
    </w:p>
    <w:p w:rsidR="00860ECF" w:rsidRPr="00292A71" w:rsidRDefault="00860ECF" w:rsidP="00860ECF">
      <w:pPr>
        <w:jc w:val="center"/>
        <w:rPr>
          <w:rStyle w:val="rvts15"/>
          <w:b/>
          <w:sz w:val="26"/>
          <w:szCs w:val="26"/>
        </w:rPr>
      </w:pPr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A45B2F">
        <w:rPr>
          <w:b/>
          <w:sz w:val="24"/>
        </w:rPr>
        <w:t>Б</w:t>
      </w:r>
      <w:r w:rsidR="00203FF0" w:rsidRPr="00292A71">
        <w:rPr>
          <w:b/>
          <w:sz w:val="24"/>
        </w:rPr>
        <w:t xml:space="preserve">» - </w:t>
      </w:r>
    </w:p>
    <w:p w:rsidR="00ED72D9" w:rsidRPr="00C24760" w:rsidRDefault="00A45B2F" w:rsidP="005915E7">
      <w:pPr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начальник</w:t>
      </w:r>
      <w:r w:rsidRPr="00A45B2F">
        <w:rPr>
          <w:rStyle w:val="rvts15"/>
          <w:b/>
          <w:sz w:val="24"/>
        </w:rPr>
        <w:t xml:space="preserve"> відділу систематизації справ та роботи з документаційним фондом Департаменту організації документообігу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A45B2F" w:rsidRPr="00A45B2F" w:rsidRDefault="00A45B2F" w:rsidP="00A45B2F">
            <w:pPr>
              <w:ind w:right="108" w:firstLine="271"/>
              <w:rPr>
                <w:sz w:val="24"/>
              </w:rPr>
            </w:pPr>
            <w:bookmarkStart w:id="0" w:name="n130"/>
            <w:bookmarkStart w:id="1" w:name="n131"/>
            <w:bookmarkEnd w:id="0"/>
            <w:bookmarkEnd w:id="1"/>
            <w:r w:rsidRPr="00A45B2F">
              <w:rPr>
                <w:sz w:val="24"/>
              </w:rPr>
              <w:t>організація користування архівними документами;</w:t>
            </w:r>
          </w:p>
          <w:p w:rsidR="00A45B2F" w:rsidRPr="00A45B2F" w:rsidRDefault="00A45B2F" w:rsidP="00A45B2F">
            <w:pPr>
              <w:ind w:right="108" w:firstLine="271"/>
              <w:rPr>
                <w:sz w:val="24"/>
              </w:rPr>
            </w:pPr>
            <w:r w:rsidRPr="00A45B2F">
              <w:rPr>
                <w:sz w:val="24"/>
              </w:rPr>
              <w:t>визначення строків зберігання справ та складення описів справ постійного та тривалого зберігання;</w:t>
            </w:r>
          </w:p>
          <w:p w:rsidR="00A45B2F" w:rsidRPr="00A45B2F" w:rsidRDefault="00A45B2F" w:rsidP="00A45B2F">
            <w:pPr>
              <w:ind w:right="108" w:firstLine="271"/>
              <w:rPr>
                <w:sz w:val="24"/>
              </w:rPr>
            </w:pPr>
            <w:r w:rsidRPr="00A45B2F">
              <w:rPr>
                <w:sz w:val="24"/>
              </w:rPr>
              <w:t>проведення попередньої експертизи цінності документів, що знаходяться на зберіганні, складання та подання на розгляд Експ</w:t>
            </w:r>
            <w:r>
              <w:rPr>
                <w:sz w:val="24"/>
              </w:rPr>
              <w:t>ертної комісії Міністерства проє</w:t>
            </w:r>
            <w:r w:rsidRPr="00A45B2F">
              <w:rPr>
                <w:sz w:val="24"/>
              </w:rPr>
              <w:t>ктів описів справ постійного зберігання, описів справ тривалого (понад 10 років) зберігання, описів справ з кадрових питань (особового складу) та актів про вилучення для знищення документів, що не віднесені до Національного архівного фонду, актів про невиправлені пошкодження документів тривалого (понад 10 років) зберігання та з кадрових питань (особового складу);</w:t>
            </w:r>
          </w:p>
          <w:p w:rsidR="00A45B2F" w:rsidRPr="00A45B2F" w:rsidRDefault="00A45B2F" w:rsidP="00A45B2F">
            <w:pPr>
              <w:ind w:right="108" w:firstLine="271"/>
              <w:rPr>
                <w:sz w:val="24"/>
              </w:rPr>
            </w:pPr>
            <w:r w:rsidRPr="00A45B2F">
              <w:rPr>
                <w:sz w:val="24"/>
              </w:rPr>
              <w:t>опрацювання пропозицій структурних підрозділів та формування зведеної номенклатури справ Міністерства;</w:t>
            </w:r>
          </w:p>
          <w:p w:rsidR="00A45B2F" w:rsidRPr="00A45B2F" w:rsidRDefault="00A45B2F" w:rsidP="00A45B2F">
            <w:pPr>
              <w:ind w:right="108" w:firstLine="271"/>
              <w:rPr>
                <w:sz w:val="24"/>
              </w:rPr>
            </w:pPr>
            <w:r w:rsidRPr="00A45B2F">
              <w:rPr>
                <w:sz w:val="24"/>
              </w:rPr>
              <w:t xml:space="preserve">забезпечення індексації документів за групами та формування електронних справ в системі електронного документообігу; </w:t>
            </w:r>
          </w:p>
          <w:p w:rsidR="00A45B2F" w:rsidRPr="00A45B2F" w:rsidRDefault="00A45B2F" w:rsidP="00A45B2F">
            <w:pPr>
              <w:ind w:right="108" w:firstLine="271"/>
              <w:rPr>
                <w:sz w:val="24"/>
              </w:rPr>
            </w:pPr>
            <w:r w:rsidRPr="00A45B2F">
              <w:rPr>
                <w:sz w:val="24"/>
              </w:rPr>
              <w:t>облік, оперативний пошук документів за їх змістом і видом, забезпечення збереження документаційного фонду Міністерства;</w:t>
            </w:r>
          </w:p>
          <w:p w:rsidR="00A45B2F" w:rsidRPr="00A45B2F" w:rsidRDefault="00A45B2F" w:rsidP="00A45B2F">
            <w:pPr>
              <w:ind w:right="108" w:firstLine="271"/>
              <w:rPr>
                <w:sz w:val="24"/>
              </w:rPr>
            </w:pPr>
            <w:r w:rsidRPr="00A45B2F">
              <w:rPr>
                <w:sz w:val="24"/>
              </w:rPr>
              <w:t>здійснення підготовки та реєстрації окремих видів документів;</w:t>
            </w:r>
          </w:p>
          <w:p w:rsidR="00292A71" w:rsidRPr="00292A71" w:rsidRDefault="00A45B2F" w:rsidP="00A45B2F">
            <w:pPr>
              <w:ind w:right="108" w:firstLine="271"/>
              <w:rPr>
                <w:sz w:val="24"/>
              </w:rPr>
            </w:pPr>
            <w:r w:rsidRPr="00A45B2F">
              <w:rPr>
                <w:sz w:val="24"/>
              </w:rPr>
              <w:t>надання методичної допомоги структурним підрозділам Міністерства з питань ведення номенклатури справ т</w:t>
            </w:r>
            <w:r>
              <w:rPr>
                <w:sz w:val="24"/>
              </w:rPr>
              <w:t>а діяльності експертних комісій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посадовий оклад –</w:t>
            </w:r>
            <w:r w:rsidR="00A45B2F">
              <w:t xml:space="preserve"> </w:t>
            </w:r>
            <w:r w:rsidR="00A45B2F" w:rsidRPr="00A45B2F">
              <w:t>13700</w:t>
            </w:r>
            <w:r w:rsidR="00A45B2F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lastRenderedPageBreak/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A45B2F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B2F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DA7623" w:rsidP="005915E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t>з «</w:t>
            </w:r>
            <w:r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хв. «</w:t>
            </w:r>
            <w:r>
              <w:rPr>
                <w:b/>
                <w:lang w:val="uk-UA"/>
              </w:rPr>
              <w:t>09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lastRenderedPageBreak/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DA7623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15 лютого</w:t>
            </w:r>
            <w:r w:rsidRPr="00292A71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2</w:t>
            </w:r>
            <w:r w:rsidRPr="00292A71">
              <w:rPr>
                <w:b/>
                <w:sz w:val="24"/>
              </w:rPr>
              <w:t xml:space="preserve"> року о 0</w:t>
            </w:r>
            <w:r>
              <w:rPr>
                <w:b/>
                <w:sz w:val="24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</w:t>
            </w:r>
            <w:r w:rsidRPr="00292A71">
              <w:rPr>
                <w:b/>
                <w:sz w:val="24"/>
              </w:rPr>
              <w:t>0 хв.</w:t>
            </w:r>
            <w:r w:rsidRPr="00292A71">
              <w:rPr>
                <w:sz w:val="24"/>
              </w:rPr>
              <w:t xml:space="preserve"> </w:t>
            </w:r>
            <w:r w:rsidR="000C629D" w:rsidRPr="00292A71">
              <w:rPr>
                <w:sz w:val="24"/>
              </w:rPr>
              <w:t xml:space="preserve">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Cisco Webex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DA7623" w:rsidRDefault="00DA7623" w:rsidP="00DA762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Омеляшко Олександр Михайлович</w:t>
            </w:r>
            <w:r w:rsidRPr="0013193B">
              <w:rPr>
                <w:sz w:val="24"/>
              </w:rPr>
              <w:t xml:space="preserve">, </w:t>
            </w:r>
          </w:p>
          <w:p w:rsidR="00DA7623" w:rsidRDefault="00DA7623" w:rsidP="00DA7623">
            <w:pPr>
              <w:ind w:firstLine="0"/>
              <w:rPr>
                <w:sz w:val="24"/>
              </w:rPr>
            </w:pPr>
            <w:r w:rsidRPr="0013193B">
              <w:rPr>
                <w:sz w:val="24"/>
              </w:rPr>
              <w:t>тел.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206-38-99</w:t>
            </w:r>
            <w:r w:rsidRPr="0013193B">
              <w:rPr>
                <w:sz w:val="24"/>
              </w:rPr>
              <w:t>,</w:t>
            </w:r>
          </w:p>
          <w:p w:rsidR="00DA7623" w:rsidRPr="000A0696" w:rsidRDefault="00DA7623" w:rsidP="00DA7623">
            <w:pPr>
              <w:ind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r w:rsidRPr="000A0696">
              <w:rPr>
                <w:sz w:val="24"/>
              </w:rPr>
              <w:t>mail</w:t>
            </w:r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0A0696">
              <w:rPr>
                <w:sz w:val="24"/>
              </w:rPr>
              <w:t xml:space="preserve">oleksandr.omeliashko@mev.gov.ua </w:t>
            </w:r>
          </w:p>
          <w:p w:rsidR="00B54847" w:rsidRPr="00292A71" w:rsidRDefault="00B54847" w:rsidP="005915E7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A45B2F" w:rsidP="0067262E">
            <w:pPr>
              <w:ind w:left="128" w:right="125" w:firstLine="0"/>
              <w:rPr>
                <w:sz w:val="24"/>
              </w:rPr>
            </w:pPr>
            <w:r w:rsidRPr="00A45B2F">
              <w:rPr>
                <w:sz w:val="24"/>
              </w:rPr>
              <w:t>вища освіта за освітнім ступенем не нижче магістра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B114CC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B114CC"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>
              <w:t>и власності не менше двох років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bookmarkStart w:id="2" w:name="_GoBack"/>
            <w:r w:rsidRPr="00292A71">
              <w:rPr>
                <w:rStyle w:val="rvts0"/>
              </w:rPr>
              <w:t>вільне володіння державною мовою</w:t>
            </w:r>
            <w:bookmarkEnd w:id="2"/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114CC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B114CC">
              <w:rPr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B114CC" w:rsidRPr="00B114CC" w:rsidRDefault="007E51EF" w:rsidP="00B114CC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B114CC">
              <w:rPr>
                <w:color w:val="000000"/>
                <w:sz w:val="24"/>
              </w:rPr>
              <w:t>здатність налагоджувати зв</w:t>
            </w:r>
            <w:r w:rsidR="00B114CC" w:rsidRPr="00B114CC">
              <w:rPr>
                <w:color w:val="000000"/>
                <w:sz w:val="24"/>
                <w:lang w:val="ru-RU"/>
              </w:rPr>
              <w:t>’</w:t>
            </w:r>
            <w:r w:rsidR="00B114CC" w:rsidRPr="00B114CC">
              <w:rPr>
                <w:color w:val="000000"/>
                <w:sz w:val="24"/>
              </w:rPr>
              <w:t>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B114CC" w:rsidRPr="00B114CC" w:rsidRDefault="007E51EF" w:rsidP="00B114CC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B114CC" w:rsidRPr="00B114CC">
              <w:rPr>
                <w:color w:val="000000"/>
                <w:sz w:val="24"/>
              </w:rPr>
              <w:t>уміння конструктивного обміну інформацією, узгодження та упорядкування дій;</w:t>
            </w:r>
          </w:p>
          <w:p w:rsidR="00B54847" w:rsidRPr="00CD60EB" w:rsidRDefault="007E51EF" w:rsidP="00B114CC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B114CC" w:rsidRPr="00B114CC">
              <w:rPr>
                <w:color w:val="000000"/>
                <w:sz w:val="24"/>
              </w:rPr>
              <w:t>здатність до об</w:t>
            </w:r>
            <w:r w:rsidR="00B114CC" w:rsidRPr="00B114CC">
              <w:rPr>
                <w:color w:val="000000"/>
                <w:sz w:val="24"/>
                <w:lang w:val="ru-RU"/>
              </w:rPr>
              <w:t>’</w:t>
            </w:r>
            <w:r w:rsidR="00B114CC" w:rsidRPr="00B114CC">
              <w:rPr>
                <w:color w:val="000000"/>
                <w:sz w:val="24"/>
              </w:rPr>
              <w:t>єднання та систематиз</w:t>
            </w:r>
            <w:r w:rsidR="00B114CC">
              <w:rPr>
                <w:color w:val="000000"/>
                <w:sz w:val="24"/>
              </w:rPr>
              <w:t>ації спільних зусиль</w:t>
            </w:r>
          </w:p>
        </w:tc>
      </w:tr>
      <w:tr w:rsidR="009F25AC" w:rsidRPr="00292A71" w:rsidTr="000728AB">
        <w:tc>
          <w:tcPr>
            <w:tcW w:w="445" w:type="dxa"/>
          </w:tcPr>
          <w:p w:rsidR="009F25AC" w:rsidRPr="00292A71" w:rsidRDefault="009F25AC" w:rsidP="009F25A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9F25AC" w:rsidRDefault="00B114CC" w:rsidP="009F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B114CC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B114CC" w:rsidRPr="00B114CC" w:rsidRDefault="007E51EF" w:rsidP="00B1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B114CC" w:rsidRPr="00B114CC">
              <w:rPr>
                <w:color w:val="000000"/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B114CC" w:rsidRPr="00B114CC" w:rsidRDefault="007E51EF" w:rsidP="00B1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B114CC" w:rsidRPr="00B114CC">
              <w:rPr>
                <w:color w:val="000000"/>
                <w:sz w:val="24"/>
              </w:rPr>
              <w:t>вміння встановлювати причинно-наслідкові зв’язки;</w:t>
            </w:r>
          </w:p>
          <w:p w:rsidR="009F25AC" w:rsidRDefault="007E51EF" w:rsidP="00B1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B114CC" w:rsidRPr="00B114CC">
              <w:rPr>
                <w:color w:val="000000"/>
                <w:sz w:val="24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B114CC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B114CC">
              <w:rPr>
                <w:color w:val="000000"/>
                <w:sz w:val="24"/>
              </w:rPr>
              <w:t>Багатозадачність</w:t>
            </w:r>
          </w:p>
        </w:tc>
        <w:tc>
          <w:tcPr>
            <w:tcW w:w="10181" w:type="dxa"/>
          </w:tcPr>
          <w:p w:rsidR="00B114CC" w:rsidRPr="007E51EF" w:rsidRDefault="007E51EF" w:rsidP="007E5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-</w:t>
            </w:r>
            <w:r w:rsidR="00B114CC" w:rsidRPr="007E51EF">
              <w:rPr>
                <w:color w:val="000000"/>
                <w:sz w:val="24"/>
              </w:rPr>
              <w:t>здатність концентрувати (не втрачати) увагу на виконанні завдання;</w:t>
            </w:r>
          </w:p>
          <w:p w:rsidR="00B114CC" w:rsidRPr="00B114CC" w:rsidRDefault="007E51EF" w:rsidP="00B1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B114CC" w:rsidRPr="00B114CC">
              <w:rPr>
                <w:color w:val="000000"/>
                <w:sz w:val="24"/>
              </w:rPr>
              <w:t>уміння розкладати завдання на процеси, спрощувати їх;</w:t>
            </w:r>
          </w:p>
          <w:p w:rsidR="00B114CC" w:rsidRPr="00B114CC" w:rsidRDefault="007E51EF" w:rsidP="00B1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B114CC" w:rsidRPr="00B114CC">
              <w:rPr>
                <w:color w:val="000000"/>
                <w:sz w:val="24"/>
              </w:rPr>
              <w:t>здатність швидко змінювати напрям роботи (діяльності);</w:t>
            </w:r>
          </w:p>
          <w:p w:rsidR="00CD75D5" w:rsidRDefault="007E51EF" w:rsidP="00B1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="00B114CC" w:rsidRPr="00B114CC">
              <w:rPr>
                <w:color w:val="000000"/>
                <w:sz w:val="24"/>
              </w:rPr>
              <w:t>уміння управляти результатом і бачити  прогрес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B114CC" w:rsidRDefault="00B114CC" w:rsidP="00B114CC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B114CC">
              <w:rPr>
                <w:sz w:val="24"/>
                <w:lang w:val="ru-RU"/>
              </w:rPr>
              <w:t>Знання:</w:t>
            </w:r>
          </w:p>
          <w:p w:rsidR="00B114CC" w:rsidRPr="00B114CC" w:rsidRDefault="00B114CC" w:rsidP="00B114CC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B114CC">
              <w:rPr>
                <w:sz w:val="24"/>
                <w:lang w:val="ru-RU"/>
              </w:rPr>
              <w:t>Закон</w:t>
            </w:r>
            <w:r>
              <w:rPr>
                <w:sz w:val="24"/>
                <w:lang w:val="ru-RU"/>
              </w:rPr>
              <w:t>у</w:t>
            </w:r>
            <w:r w:rsidRPr="00B114CC">
              <w:rPr>
                <w:sz w:val="24"/>
                <w:lang w:val="ru-RU"/>
              </w:rPr>
              <w:t xml:space="preserve"> України від 24.12.1993 № 3814-</w:t>
            </w:r>
            <w:r w:rsidRPr="00B114CC">
              <w:rPr>
                <w:sz w:val="24"/>
                <w:lang w:val="en-US"/>
              </w:rPr>
              <w:t>XII</w:t>
            </w:r>
            <w:r w:rsidRPr="00B114CC">
              <w:rPr>
                <w:sz w:val="24"/>
                <w:lang w:val="ru-RU"/>
              </w:rPr>
              <w:t xml:space="preserve"> «Про Національний архівний фонд та архівні установи»</w:t>
            </w:r>
          </w:p>
          <w:p w:rsidR="00B114CC" w:rsidRPr="00B114CC" w:rsidRDefault="00B114CC" w:rsidP="00B114CC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постанови</w:t>
            </w:r>
            <w:r w:rsidRPr="00B114CC">
              <w:rPr>
                <w:sz w:val="24"/>
                <w:lang w:val="ru-RU"/>
              </w:rPr>
              <w:t xml:space="preserve"> Кабінет</w:t>
            </w:r>
            <w:r>
              <w:rPr>
                <w:sz w:val="24"/>
                <w:lang w:val="ru-RU"/>
              </w:rPr>
              <w:t>у Міністрів України від 17.01.2018</w:t>
            </w:r>
            <w:r w:rsidRPr="00B114CC">
              <w:rPr>
                <w:sz w:val="24"/>
                <w:lang w:val="ru-RU"/>
              </w:rPr>
              <w:t xml:space="preserve"> № 55 «Про затвердження Типової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обміну»;</w:t>
            </w:r>
          </w:p>
          <w:p w:rsidR="00B114CC" w:rsidRPr="00B114CC" w:rsidRDefault="00B114CC" w:rsidP="00B114CC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постанови</w:t>
            </w:r>
            <w:r w:rsidRPr="00B114CC">
              <w:rPr>
                <w:sz w:val="24"/>
                <w:lang w:val="ru-RU"/>
              </w:rPr>
              <w:t xml:space="preserve"> Кабінету</w:t>
            </w:r>
            <w:r>
              <w:rPr>
                <w:sz w:val="24"/>
                <w:lang w:val="ru-RU"/>
              </w:rPr>
              <w:t xml:space="preserve"> Міністрів України від 19.10.2016 </w:t>
            </w:r>
            <w:r w:rsidRPr="00B114CC">
              <w:rPr>
                <w:sz w:val="24"/>
                <w:lang w:val="ru-RU"/>
              </w:rPr>
              <w:t>№ 746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інформацію»;</w:t>
            </w:r>
          </w:p>
          <w:p w:rsidR="00CD75D5" w:rsidRPr="00B114CC" w:rsidRDefault="00B114CC" w:rsidP="00B114CC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B114CC">
              <w:rPr>
                <w:sz w:val="24"/>
                <w:lang w:val="ru-RU"/>
              </w:rPr>
              <w:t>наказ</w:t>
            </w:r>
            <w:r>
              <w:rPr>
                <w:sz w:val="24"/>
              </w:rPr>
              <w:t>у</w:t>
            </w:r>
            <w:r w:rsidRPr="00B114CC">
              <w:rPr>
                <w:sz w:val="24"/>
                <w:lang w:val="ru-RU"/>
              </w:rPr>
              <w:t xml:space="preserve"> Міністерства юстиції України від 18.</w:t>
            </w:r>
            <w:r>
              <w:rPr>
                <w:sz w:val="24"/>
                <w:lang w:val="ru-RU"/>
              </w:rPr>
              <w:t>06.2015</w:t>
            </w:r>
            <w:r w:rsidRPr="00B114CC">
              <w:rPr>
                <w:sz w:val="24"/>
                <w:lang w:val="ru-RU"/>
              </w:rPr>
              <w:t xml:space="preserve"> №1000/5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A1" w:rsidRPr="00576AA1">
          <w:rPr>
            <w:noProof/>
            <w:lang w:val="ru-RU"/>
          </w:rPr>
          <w:t>3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C5DCD"/>
    <w:multiLevelType w:val="hybridMultilevel"/>
    <w:tmpl w:val="1688A288"/>
    <w:lvl w:ilvl="0" w:tplc="C7BE49D6"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0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703EE"/>
    <w:multiLevelType w:val="hybridMultilevel"/>
    <w:tmpl w:val="C5B0917C"/>
    <w:lvl w:ilvl="0" w:tplc="278A4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15"/>
  </w:num>
  <w:num w:numId="10">
    <w:abstractNumId w:val="2"/>
  </w:num>
  <w:num w:numId="11">
    <w:abstractNumId w:val="13"/>
  </w:num>
  <w:num w:numId="12">
    <w:abstractNumId w:val="6"/>
  </w:num>
  <w:num w:numId="13">
    <w:abstractNumId w:val="3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02D2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015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76AA1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7E51EF"/>
    <w:rsid w:val="008015C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5B2F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14CC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65B5"/>
    <w:rsid w:val="00D90096"/>
    <w:rsid w:val="00D928F8"/>
    <w:rsid w:val="00DA3CC9"/>
    <w:rsid w:val="00DA6BE5"/>
    <w:rsid w:val="00DA7623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F6EBB-74CD-429D-8FD1-893BD2FC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4819</Words>
  <Characters>2748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26</cp:revision>
  <cp:lastPrinted>2021-03-15T07:59:00Z</cp:lastPrinted>
  <dcterms:created xsi:type="dcterms:W3CDTF">2021-10-19T06:10:00Z</dcterms:created>
  <dcterms:modified xsi:type="dcterms:W3CDTF">2022-02-03T10:53:00Z</dcterms:modified>
</cp:coreProperties>
</file>